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BB278">
      <w:pPr>
        <w:autoSpaceDE/>
        <w:autoSpaceDN/>
        <w:adjustRightInd/>
        <w:jc w:val="center"/>
        <w:rPr>
          <w:rFonts w:eastAsia="宋体"/>
          <w:b/>
          <w:kern w:val="2"/>
          <w:sz w:val="36"/>
          <w:szCs w:val="36"/>
        </w:rPr>
      </w:pPr>
      <w:bookmarkStart w:id="0" w:name="_Toc56260866"/>
    </w:p>
    <w:p w14:paraId="70FA6641">
      <w:pPr>
        <w:autoSpaceDE/>
        <w:autoSpaceDN/>
        <w:adjustRightInd/>
        <w:jc w:val="center"/>
        <w:rPr>
          <w:rFonts w:eastAsia="宋体"/>
          <w:b/>
          <w:kern w:val="2"/>
          <w:sz w:val="36"/>
          <w:szCs w:val="36"/>
        </w:rPr>
      </w:pPr>
    </w:p>
    <w:p w14:paraId="5131C273">
      <w:pPr>
        <w:autoSpaceDE/>
        <w:autoSpaceDN/>
        <w:adjustRightInd/>
        <w:jc w:val="center"/>
        <w:rPr>
          <w:rFonts w:eastAsia="宋体"/>
          <w:b/>
          <w:kern w:val="2"/>
          <w:sz w:val="36"/>
          <w:szCs w:val="36"/>
        </w:rPr>
      </w:pPr>
    </w:p>
    <w:p w14:paraId="7CFD92E9">
      <w:pPr>
        <w:autoSpaceDE/>
        <w:autoSpaceDN/>
        <w:adjustRightInd/>
        <w:jc w:val="center"/>
        <w:rPr>
          <w:rFonts w:hint="eastAsia" w:ascii="楷体" w:hAnsi="楷体" w:eastAsia="楷体"/>
          <w:b/>
          <w:kern w:val="2"/>
          <w:sz w:val="36"/>
          <w:szCs w:val="36"/>
        </w:rPr>
      </w:pPr>
    </w:p>
    <w:p w14:paraId="26F9EC62">
      <w:pPr>
        <w:autoSpaceDE/>
        <w:autoSpaceDN/>
        <w:jc w:val="center"/>
        <w:rPr>
          <w:rFonts w:hint="eastAsia" w:ascii="楷体" w:hAnsi="楷体" w:eastAsia="楷体"/>
          <w:b/>
          <w:kern w:val="2"/>
          <w:sz w:val="44"/>
          <w:szCs w:val="44"/>
        </w:rPr>
      </w:pPr>
      <w:bookmarkStart w:id="1" w:name="OLE_LINK1"/>
      <w:r>
        <w:rPr>
          <w:rFonts w:ascii="楷体" w:hAnsi="楷体" w:eastAsia="楷体"/>
          <w:b/>
          <w:kern w:val="2"/>
          <w:sz w:val="44"/>
          <w:szCs w:val="44"/>
        </w:rPr>
        <w:t>《</w:t>
      </w:r>
      <w:r>
        <w:rPr>
          <w:rFonts w:hint="eastAsia" w:ascii="楷体" w:hAnsi="楷体" w:eastAsia="楷体"/>
          <w:b/>
          <w:kern w:val="2"/>
          <w:sz w:val="44"/>
          <w:szCs w:val="44"/>
        </w:rPr>
        <w:t>生猪养殖场生物安全信息化监控系统技术规范</w:t>
      </w:r>
      <w:r>
        <w:rPr>
          <w:rFonts w:ascii="楷体" w:hAnsi="楷体" w:eastAsia="楷体"/>
          <w:b/>
          <w:kern w:val="2"/>
          <w:sz w:val="44"/>
          <w:szCs w:val="44"/>
        </w:rPr>
        <w:t>》</w:t>
      </w:r>
      <w:bookmarkEnd w:id="0"/>
    </w:p>
    <w:bookmarkEnd w:id="1"/>
    <w:p w14:paraId="5CEE2944">
      <w:pPr>
        <w:autoSpaceDE/>
        <w:autoSpaceDN/>
        <w:adjustRightInd/>
        <w:jc w:val="center"/>
        <w:rPr>
          <w:rFonts w:hint="eastAsia" w:ascii="楷体" w:hAnsi="楷体" w:eastAsia="楷体"/>
          <w:b/>
          <w:kern w:val="2"/>
          <w:sz w:val="44"/>
          <w:szCs w:val="44"/>
        </w:rPr>
      </w:pPr>
    </w:p>
    <w:p w14:paraId="37B2025A">
      <w:pPr>
        <w:autoSpaceDE/>
        <w:autoSpaceDN/>
        <w:adjustRightInd/>
        <w:jc w:val="center"/>
        <w:rPr>
          <w:rFonts w:hint="eastAsia" w:ascii="楷体" w:hAnsi="楷体" w:eastAsia="楷体"/>
          <w:b/>
          <w:kern w:val="2"/>
          <w:sz w:val="36"/>
          <w:szCs w:val="36"/>
        </w:rPr>
      </w:pPr>
      <w:r>
        <w:rPr>
          <w:rFonts w:ascii="楷体" w:hAnsi="楷体" w:eastAsia="楷体"/>
          <w:b/>
          <w:kern w:val="2"/>
          <w:sz w:val="36"/>
          <w:szCs w:val="36"/>
        </w:rPr>
        <w:t>（</w:t>
      </w:r>
      <w:r>
        <w:rPr>
          <w:rFonts w:hint="eastAsia" w:ascii="楷体" w:hAnsi="楷体" w:eastAsia="楷体"/>
          <w:b/>
          <w:kern w:val="2"/>
          <w:sz w:val="36"/>
          <w:szCs w:val="36"/>
        </w:rPr>
        <w:t>送审</w:t>
      </w:r>
      <w:r>
        <w:rPr>
          <w:rFonts w:ascii="楷体" w:hAnsi="楷体" w:eastAsia="楷体"/>
          <w:b/>
          <w:kern w:val="2"/>
          <w:sz w:val="36"/>
          <w:szCs w:val="36"/>
        </w:rPr>
        <w:t>稿）</w:t>
      </w:r>
    </w:p>
    <w:p w14:paraId="4310F8B5">
      <w:pPr>
        <w:autoSpaceDE/>
        <w:autoSpaceDN/>
        <w:adjustRightInd/>
        <w:jc w:val="center"/>
        <w:rPr>
          <w:rFonts w:hint="eastAsia" w:ascii="楷体" w:hAnsi="楷体" w:eastAsia="楷体"/>
          <w:b/>
          <w:kern w:val="2"/>
          <w:sz w:val="36"/>
          <w:szCs w:val="36"/>
        </w:rPr>
      </w:pPr>
    </w:p>
    <w:p w14:paraId="7D221290">
      <w:pPr>
        <w:autoSpaceDE/>
        <w:autoSpaceDN/>
        <w:adjustRightInd/>
        <w:jc w:val="center"/>
        <w:rPr>
          <w:rFonts w:hint="eastAsia" w:ascii="楷体" w:hAnsi="楷体" w:eastAsia="楷体"/>
          <w:b/>
          <w:kern w:val="2"/>
          <w:sz w:val="36"/>
          <w:szCs w:val="36"/>
        </w:rPr>
      </w:pPr>
      <w:r>
        <w:rPr>
          <w:rFonts w:ascii="楷体" w:hAnsi="楷体" w:eastAsia="楷体"/>
          <w:b/>
          <w:kern w:val="2"/>
          <w:sz w:val="36"/>
          <w:szCs w:val="36"/>
        </w:rPr>
        <w:t>编制说明</w:t>
      </w:r>
    </w:p>
    <w:p w14:paraId="1F2F2436">
      <w:pPr>
        <w:kinsoku w:val="0"/>
        <w:overflowPunct w:val="0"/>
        <w:spacing w:line="360" w:lineRule="auto"/>
        <w:jc w:val="center"/>
        <w:rPr>
          <w:rFonts w:eastAsia="黑体"/>
          <w:b/>
          <w:bCs/>
          <w:sz w:val="32"/>
          <w:szCs w:val="32"/>
        </w:rPr>
      </w:pPr>
    </w:p>
    <w:p w14:paraId="6E8CF5DE">
      <w:pPr>
        <w:kinsoku w:val="0"/>
        <w:overflowPunct w:val="0"/>
        <w:spacing w:line="360" w:lineRule="auto"/>
        <w:rPr>
          <w:sz w:val="20"/>
          <w:szCs w:val="20"/>
        </w:rPr>
      </w:pPr>
    </w:p>
    <w:p w14:paraId="30C14614">
      <w:pPr>
        <w:kinsoku w:val="0"/>
        <w:overflowPunct w:val="0"/>
        <w:spacing w:line="360" w:lineRule="auto"/>
        <w:rPr>
          <w:sz w:val="20"/>
          <w:szCs w:val="20"/>
        </w:rPr>
      </w:pPr>
    </w:p>
    <w:p w14:paraId="01AA2DA2">
      <w:pPr>
        <w:kinsoku w:val="0"/>
        <w:overflowPunct w:val="0"/>
        <w:spacing w:line="360" w:lineRule="auto"/>
        <w:rPr>
          <w:sz w:val="20"/>
          <w:szCs w:val="20"/>
        </w:rPr>
      </w:pPr>
    </w:p>
    <w:p w14:paraId="78A55473">
      <w:pPr>
        <w:kinsoku w:val="0"/>
        <w:overflowPunct w:val="0"/>
        <w:spacing w:line="360" w:lineRule="auto"/>
        <w:rPr>
          <w:sz w:val="20"/>
          <w:szCs w:val="20"/>
        </w:rPr>
      </w:pPr>
    </w:p>
    <w:p w14:paraId="79A5AD3F">
      <w:pPr>
        <w:kinsoku w:val="0"/>
        <w:overflowPunct w:val="0"/>
        <w:spacing w:line="360" w:lineRule="auto"/>
        <w:rPr>
          <w:sz w:val="20"/>
          <w:szCs w:val="20"/>
        </w:rPr>
      </w:pPr>
    </w:p>
    <w:p w14:paraId="63F43DCD">
      <w:pPr>
        <w:kinsoku w:val="0"/>
        <w:overflowPunct w:val="0"/>
        <w:spacing w:line="360" w:lineRule="auto"/>
        <w:rPr>
          <w:sz w:val="20"/>
          <w:szCs w:val="20"/>
        </w:rPr>
      </w:pPr>
    </w:p>
    <w:p w14:paraId="2BF3BB50">
      <w:pPr>
        <w:kinsoku w:val="0"/>
        <w:overflowPunct w:val="0"/>
        <w:spacing w:line="360" w:lineRule="auto"/>
        <w:rPr>
          <w:sz w:val="20"/>
          <w:szCs w:val="20"/>
        </w:rPr>
      </w:pPr>
    </w:p>
    <w:p w14:paraId="4065BDBC">
      <w:pPr>
        <w:kinsoku w:val="0"/>
        <w:overflowPunct w:val="0"/>
        <w:spacing w:line="360" w:lineRule="auto"/>
        <w:rPr>
          <w:sz w:val="20"/>
          <w:szCs w:val="20"/>
        </w:rPr>
      </w:pPr>
    </w:p>
    <w:p w14:paraId="1A2CAEB0">
      <w:pPr>
        <w:autoSpaceDE/>
        <w:autoSpaceDN/>
        <w:adjustRightInd/>
        <w:jc w:val="center"/>
        <w:rPr>
          <w:rFonts w:hint="eastAsia" w:ascii="楷体" w:hAnsi="楷体" w:eastAsia="楷体"/>
          <w:b/>
          <w:kern w:val="2"/>
          <w:sz w:val="28"/>
          <w:szCs w:val="28"/>
        </w:rPr>
      </w:pPr>
      <w:r>
        <w:rPr>
          <w:rFonts w:ascii="楷体" w:hAnsi="楷体" w:eastAsia="楷体"/>
          <w:b/>
          <w:kern w:val="2"/>
          <w:sz w:val="28"/>
          <w:szCs w:val="28"/>
        </w:rPr>
        <w:t>《</w:t>
      </w:r>
      <w:r>
        <w:rPr>
          <w:rFonts w:hint="eastAsia" w:ascii="楷体" w:hAnsi="楷体" w:eastAsia="楷体"/>
          <w:b/>
          <w:kern w:val="2"/>
          <w:sz w:val="28"/>
          <w:szCs w:val="28"/>
        </w:rPr>
        <w:t>生猪养殖场生物安全信息化监控系统技术规范</w:t>
      </w:r>
      <w:r>
        <w:rPr>
          <w:rFonts w:ascii="楷体" w:hAnsi="楷体" w:eastAsia="楷体"/>
          <w:b/>
          <w:kern w:val="2"/>
          <w:sz w:val="28"/>
          <w:szCs w:val="28"/>
        </w:rPr>
        <w:t>》</w:t>
      </w:r>
    </w:p>
    <w:p w14:paraId="3F36642A">
      <w:pPr>
        <w:autoSpaceDE/>
        <w:autoSpaceDN/>
        <w:adjustRightInd/>
        <w:jc w:val="center"/>
        <w:rPr>
          <w:rFonts w:hint="eastAsia" w:ascii="楷体" w:hAnsi="楷体" w:eastAsia="楷体"/>
          <w:b/>
          <w:kern w:val="2"/>
          <w:sz w:val="28"/>
          <w:szCs w:val="28"/>
        </w:rPr>
      </w:pPr>
      <w:r>
        <w:rPr>
          <w:rFonts w:hint="eastAsia" w:ascii="楷体" w:hAnsi="楷体" w:eastAsia="楷体"/>
          <w:b/>
          <w:kern w:val="2"/>
          <w:sz w:val="28"/>
          <w:szCs w:val="28"/>
        </w:rPr>
        <w:t>起草小组</w:t>
      </w:r>
    </w:p>
    <w:p w14:paraId="24AD6B03">
      <w:pPr>
        <w:jc w:val="center"/>
        <w:rPr>
          <w:rFonts w:hint="eastAsia" w:ascii="楷体" w:hAnsi="楷体" w:eastAsia="楷体"/>
          <w:sz w:val="28"/>
          <w:szCs w:val="28"/>
        </w:rPr>
      </w:pPr>
      <w:r>
        <w:rPr>
          <w:rFonts w:hint="eastAsia" w:ascii="楷体" w:hAnsi="楷体" w:eastAsia="楷体"/>
          <w:sz w:val="28"/>
          <w:szCs w:val="28"/>
        </w:rPr>
        <w:t>二〇二五</w:t>
      </w:r>
      <w:r>
        <w:rPr>
          <w:rFonts w:ascii="楷体" w:hAnsi="楷体" w:eastAsia="楷体"/>
          <w:sz w:val="28"/>
          <w:szCs w:val="28"/>
        </w:rPr>
        <w:t>年</w:t>
      </w:r>
      <w:r>
        <w:rPr>
          <w:rFonts w:hint="eastAsia" w:ascii="楷体" w:hAnsi="楷体" w:eastAsia="楷体"/>
          <w:sz w:val="28"/>
          <w:szCs w:val="28"/>
        </w:rPr>
        <w:t>十二</w:t>
      </w:r>
      <w:r>
        <w:rPr>
          <w:rFonts w:ascii="楷体" w:hAnsi="楷体" w:eastAsia="楷体"/>
          <w:sz w:val="28"/>
          <w:szCs w:val="28"/>
        </w:rPr>
        <w:t>月</w:t>
      </w:r>
    </w:p>
    <w:p w14:paraId="2BEF1E12">
      <w:pPr>
        <w:widowControl/>
        <w:autoSpaceDE/>
        <w:autoSpaceDN/>
        <w:adjustRightInd/>
        <w:rPr>
          <w:rFonts w:eastAsia="黑体"/>
          <w:sz w:val="28"/>
          <w:szCs w:val="28"/>
        </w:rPr>
      </w:pPr>
      <w:r>
        <w:rPr>
          <w:rFonts w:eastAsia="黑体"/>
          <w:sz w:val="28"/>
          <w:szCs w:val="28"/>
        </w:rPr>
        <w:br w:type="page"/>
      </w:r>
    </w:p>
    <w:sdt>
      <w:sdtPr>
        <w:rPr>
          <w:rFonts w:hint="eastAsia" w:ascii="楷体" w:hAnsi="楷体" w:eastAsia="楷体" w:cs="楷体"/>
          <w:b/>
          <w:bCs/>
          <w:sz w:val="30"/>
          <w:szCs w:val="30"/>
        </w:rPr>
        <w:id w:val="147479390"/>
        <w15:color w:val="DBDBDB"/>
        <w:docPartObj>
          <w:docPartGallery w:val="Table of Contents"/>
          <w:docPartUnique/>
        </w:docPartObj>
      </w:sdtPr>
      <w:sdtEndPr>
        <w:rPr>
          <w:rFonts w:hint="eastAsia" w:ascii="楷体" w:hAnsi="楷体" w:eastAsia="楷体" w:cs="楷体"/>
          <w:b/>
          <w:bCs/>
          <w:sz w:val="30"/>
          <w:szCs w:val="30"/>
        </w:rPr>
      </w:sdtEndPr>
      <w:sdtContent>
        <w:p w14:paraId="0F615310">
          <w:pPr>
            <w:jc w:val="center"/>
            <w:rPr>
              <w:rFonts w:hint="eastAsia" w:ascii="楷体" w:hAnsi="楷体" w:eastAsia="楷体" w:cs="楷体"/>
              <w:b/>
              <w:bCs/>
              <w:sz w:val="30"/>
              <w:szCs w:val="30"/>
            </w:rPr>
          </w:pPr>
          <w:r>
            <w:rPr>
              <w:rFonts w:hint="eastAsia" w:ascii="楷体" w:hAnsi="楷体" w:eastAsia="楷体" w:cs="楷体"/>
              <w:b/>
              <w:bCs/>
              <w:sz w:val="30"/>
              <w:szCs w:val="30"/>
            </w:rPr>
            <w:t>目录</w:t>
          </w:r>
        </w:p>
        <w:p w14:paraId="1E8DDB8A">
          <w:pPr>
            <w:pStyle w:val="14"/>
            <w:tabs>
              <w:tab w:val="right" w:leader="dot" w:pos="8296"/>
            </w:tabs>
            <w:spacing w:line="360" w:lineRule="auto"/>
            <w:rPr>
              <w:rFonts w:eastAsia="楷体_GB2312"/>
              <w:kern w:val="2"/>
              <w:sz w:val="22"/>
              <w14:ligatures w14:val="standardContextual"/>
            </w:rPr>
          </w:pPr>
          <w:r>
            <w:rPr>
              <w:rFonts w:eastAsia="楷体_GB2312"/>
            </w:rPr>
            <w:fldChar w:fldCharType="begin"/>
          </w:r>
          <w:r>
            <w:rPr>
              <w:rFonts w:eastAsia="楷体_GB2312"/>
            </w:rPr>
            <w:instrText xml:space="preserve">TOC \o "1-2" \h \u </w:instrText>
          </w:r>
          <w:r>
            <w:rPr>
              <w:rFonts w:eastAsia="楷体_GB2312"/>
            </w:rPr>
            <w:fldChar w:fldCharType="separate"/>
          </w:r>
          <w:r>
            <w:fldChar w:fldCharType="begin"/>
          </w:r>
          <w:r>
            <w:instrText xml:space="preserve"> HYPERLINK \l "_Toc179624674" </w:instrText>
          </w:r>
          <w:r>
            <w:fldChar w:fldCharType="separate"/>
          </w:r>
          <w:r>
            <w:rPr>
              <w:rStyle w:val="23"/>
              <w:rFonts w:eastAsia="楷体_GB2312"/>
            </w:rPr>
            <w:t>一、 工作简况</w:t>
          </w:r>
          <w:r>
            <w:rPr>
              <w:rFonts w:eastAsia="楷体_GB2312"/>
            </w:rPr>
            <w:tab/>
          </w:r>
          <w:r>
            <w:rPr>
              <w:rFonts w:eastAsia="楷体_GB2312"/>
            </w:rPr>
            <w:fldChar w:fldCharType="begin"/>
          </w:r>
          <w:r>
            <w:rPr>
              <w:rFonts w:eastAsia="楷体_GB2312"/>
            </w:rPr>
            <w:instrText xml:space="preserve"> PAGEREF _Toc179624674 \h </w:instrText>
          </w:r>
          <w:r>
            <w:rPr>
              <w:rFonts w:eastAsia="楷体_GB2312"/>
            </w:rPr>
            <w:fldChar w:fldCharType="separate"/>
          </w:r>
          <w:r>
            <w:rPr>
              <w:rFonts w:eastAsia="楷体_GB2312"/>
            </w:rPr>
            <w:t>3</w:t>
          </w:r>
          <w:r>
            <w:rPr>
              <w:rFonts w:eastAsia="楷体_GB2312"/>
            </w:rPr>
            <w:fldChar w:fldCharType="end"/>
          </w:r>
          <w:r>
            <w:rPr>
              <w:rFonts w:eastAsia="楷体_GB2312"/>
            </w:rPr>
            <w:fldChar w:fldCharType="end"/>
          </w:r>
        </w:p>
        <w:p w14:paraId="432BF721">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"_Toc179624675" </w:instrText>
          </w:r>
          <w:r>
            <w:fldChar w:fldCharType="separate"/>
          </w:r>
          <w:r>
            <w:rPr>
              <w:rStyle w:val="23"/>
              <w:rFonts w:eastAsia="楷体_GB2312"/>
            </w:rPr>
            <w:t>（一）任务来源</w:t>
          </w:r>
          <w:r>
            <w:rPr>
              <w:rFonts w:eastAsia="楷体_GB2312"/>
            </w:rPr>
            <w:tab/>
          </w:r>
          <w:r>
            <w:rPr>
              <w:rFonts w:eastAsia="楷体_GB2312"/>
            </w:rPr>
            <w:fldChar w:fldCharType="begin"/>
          </w:r>
          <w:r>
            <w:rPr>
              <w:rFonts w:eastAsia="楷体_GB2312"/>
            </w:rPr>
            <w:instrText xml:space="preserve"> PAGEREF _Toc179624675 \h </w:instrText>
          </w:r>
          <w:r>
            <w:rPr>
              <w:rFonts w:eastAsia="楷体_GB2312"/>
            </w:rPr>
            <w:fldChar w:fldCharType="separate"/>
          </w:r>
          <w:r>
            <w:rPr>
              <w:rFonts w:eastAsia="楷体_GB2312"/>
            </w:rPr>
            <w:t>3</w:t>
          </w:r>
          <w:r>
            <w:rPr>
              <w:rFonts w:eastAsia="楷体_GB2312"/>
            </w:rPr>
            <w:fldChar w:fldCharType="end"/>
          </w:r>
          <w:r>
            <w:rPr>
              <w:rFonts w:eastAsia="楷体_GB2312"/>
            </w:rPr>
            <w:fldChar w:fldCharType="end"/>
          </w:r>
        </w:p>
        <w:p w14:paraId="08B47719">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"_Toc179624676" </w:instrText>
          </w:r>
          <w:r>
            <w:fldChar w:fldCharType="separate"/>
          </w:r>
          <w:r>
            <w:rPr>
              <w:rStyle w:val="23"/>
              <w:rFonts w:eastAsia="楷体_GB2312"/>
            </w:rPr>
            <w:t>（二）制定背景</w:t>
          </w:r>
          <w:r>
            <w:rPr>
              <w:rFonts w:eastAsia="楷体_GB2312"/>
            </w:rPr>
            <w:tab/>
          </w:r>
          <w:r>
            <w:rPr>
              <w:rFonts w:eastAsia="楷体_GB2312"/>
            </w:rPr>
            <w:fldChar w:fldCharType="begin"/>
          </w:r>
          <w:r>
            <w:rPr>
              <w:rFonts w:eastAsia="楷体_GB2312"/>
            </w:rPr>
            <w:instrText xml:space="preserve"> PAGEREF _Toc179624676 \h </w:instrText>
          </w:r>
          <w:r>
            <w:rPr>
              <w:rFonts w:eastAsia="楷体_GB2312"/>
            </w:rPr>
            <w:fldChar w:fldCharType="separate"/>
          </w:r>
          <w:r>
            <w:rPr>
              <w:rFonts w:eastAsia="楷体_GB2312"/>
            </w:rPr>
            <w:t>4</w:t>
          </w:r>
          <w:r>
            <w:rPr>
              <w:rFonts w:eastAsia="楷体_GB2312"/>
            </w:rPr>
            <w:fldChar w:fldCharType="end"/>
          </w:r>
          <w:r>
            <w:rPr>
              <w:rFonts w:eastAsia="楷体_GB2312"/>
            </w:rPr>
            <w:fldChar w:fldCharType="end"/>
          </w:r>
        </w:p>
        <w:p w14:paraId="0E499FD9">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"_Toc179624677" </w:instrText>
          </w:r>
          <w:r>
            <w:fldChar w:fldCharType="separate"/>
          </w:r>
          <w:r>
            <w:rPr>
              <w:rStyle w:val="23"/>
              <w:rFonts w:eastAsia="楷体_GB2312"/>
              <w:bCs/>
            </w:rPr>
            <w:t>（三）主要起草过程</w:t>
          </w:r>
          <w:r>
            <w:rPr>
              <w:rFonts w:eastAsia="楷体_GB2312"/>
            </w:rPr>
            <w:tab/>
          </w:r>
          <w:r>
            <w:rPr>
              <w:rFonts w:eastAsia="楷体_GB2312"/>
            </w:rPr>
            <w:fldChar w:fldCharType="begin"/>
          </w:r>
          <w:r>
            <w:rPr>
              <w:rFonts w:eastAsia="楷体_GB2312"/>
            </w:rPr>
            <w:instrText xml:space="preserve"> PAGEREF _Toc179624677 \h </w:instrText>
          </w:r>
          <w:r>
            <w:rPr>
              <w:rFonts w:eastAsia="楷体_GB2312"/>
            </w:rPr>
            <w:fldChar w:fldCharType="separate"/>
          </w:r>
          <w:r>
            <w:rPr>
              <w:rFonts w:eastAsia="楷体_GB2312"/>
            </w:rPr>
            <w:t>6</w:t>
          </w:r>
          <w:r>
            <w:rPr>
              <w:rFonts w:eastAsia="楷体_GB2312"/>
            </w:rPr>
            <w:fldChar w:fldCharType="end"/>
          </w:r>
          <w:r>
            <w:rPr>
              <w:rFonts w:eastAsia="楷体_GB2312"/>
            </w:rPr>
            <w:fldChar w:fldCharType="end"/>
          </w:r>
        </w:p>
        <w:p w14:paraId="3986104A">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"_Toc179624678" </w:instrText>
          </w:r>
          <w:r>
            <w:fldChar w:fldCharType="separate"/>
          </w:r>
          <w:r>
            <w:rPr>
              <w:rStyle w:val="23"/>
              <w:rFonts w:eastAsia="楷体_GB2312"/>
            </w:rPr>
            <w:t>二、 标准编制原则、主要技术内容及编制依据</w:t>
          </w:r>
          <w:r>
            <w:rPr>
              <w:rFonts w:eastAsia="楷体_GB2312"/>
            </w:rPr>
            <w:tab/>
          </w:r>
          <w:r>
            <w:rPr>
              <w:rFonts w:eastAsia="楷体_GB2312"/>
            </w:rPr>
            <w:fldChar w:fldCharType="begin"/>
          </w:r>
          <w:r>
            <w:rPr>
              <w:rFonts w:eastAsia="楷体_GB2312"/>
            </w:rPr>
            <w:instrText xml:space="preserve"> PAGEREF _Toc179624678 \h </w:instrText>
          </w:r>
          <w:r>
            <w:rPr>
              <w:rFonts w:eastAsia="楷体_GB2312"/>
            </w:rPr>
            <w:fldChar w:fldCharType="separate"/>
          </w:r>
          <w:r>
            <w:rPr>
              <w:rFonts w:eastAsia="楷体_GB2312"/>
            </w:rPr>
            <w:t>8</w:t>
          </w:r>
          <w:r>
            <w:rPr>
              <w:rFonts w:eastAsia="楷体_GB2312"/>
            </w:rPr>
            <w:fldChar w:fldCharType="end"/>
          </w:r>
          <w:r>
            <w:rPr>
              <w:rFonts w:eastAsia="楷体_GB2312"/>
            </w:rPr>
            <w:fldChar w:fldCharType="end"/>
          </w:r>
        </w:p>
        <w:p w14:paraId="672BB328">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"_Toc179624679" </w:instrText>
          </w:r>
          <w:r>
            <w:fldChar w:fldCharType="separate"/>
          </w:r>
          <w:r>
            <w:rPr>
              <w:rStyle w:val="23"/>
              <w:rFonts w:eastAsia="楷体_GB2312"/>
              <w:bCs/>
            </w:rPr>
            <w:t>（一）编制原则</w:t>
          </w:r>
          <w:r>
            <w:rPr>
              <w:rFonts w:eastAsia="楷体_GB2312"/>
            </w:rPr>
            <w:tab/>
          </w:r>
          <w:r>
            <w:rPr>
              <w:rFonts w:eastAsia="楷体_GB2312"/>
            </w:rPr>
            <w:fldChar w:fldCharType="begin"/>
          </w:r>
          <w:r>
            <w:rPr>
              <w:rFonts w:eastAsia="楷体_GB2312"/>
            </w:rPr>
            <w:instrText xml:space="preserve"> PAGEREF _Toc179624679 \h </w:instrText>
          </w:r>
          <w:r>
            <w:rPr>
              <w:rFonts w:eastAsia="楷体_GB2312"/>
            </w:rPr>
            <w:fldChar w:fldCharType="separate"/>
          </w:r>
          <w:r>
            <w:rPr>
              <w:rFonts w:eastAsia="楷体_GB2312"/>
            </w:rPr>
            <w:t>9</w:t>
          </w:r>
          <w:r>
            <w:rPr>
              <w:rFonts w:eastAsia="楷体_GB2312"/>
            </w:rPr>
            <w:fldChar w:fldCharType="end"/>
          </w:r>
          <w:r>
            <w:rPr>
              <w:rFonts w:eastAsia="楷体_GB2312"/>
            </w:rPr>
            <w:fldChar w:fldCharType="end"/>
          </w:r>
        </w:p>
        <w:p w14:paraId="1285024A">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"_Toc179624680" </w:instrText>
          </w:r>
          <w:r>
            <w:fldChar w:fldCharType="separate"/>
          </w:r>
          <w:r>
            <w:rPr>
              <w:rStyle w:val="23"/>
              <w:rFonts w:eastAsia="楷体_GB2312"/>
              <w:bCs/>
            </w:rPr>
            <w:t>（二）标准编制的依据</w:t>
          </w:r>
          <w:r>
            <w:rPr>
              <w:rFonts w:eastAsia="楷体_GB2312"/>
            </w:rPr>
            <w:tab/>
          </w:r>
          <w:r>
            <w:rPr>
              <w:rFonts w:eastAsia="楷体_GB2312"/>
            </w:rPr>
            <w:fldChar w:fldCharType="begin"/>
          </w:r>
          <w:r>
            <w:rPr>
              <w:rFonts w:eastAsia="楷体_GB2312"/>
            </w:rPr>
            <w:instrText xml:space="preserve"> PAGEREF _Toc179624680 \h </w:instrText>
          </w:r>
          <w:r>
            <w:rPr>
              <w:rFonts w:eastAsia="楷体_GB2312"/>
            </w:rPr>
            <w:fldChar w:fldCharType="separate"/>
          </w:r>
          <w:r>
            <w:rPr>
              <w:rFonts w:eastAsia="楷体_GB2312"/>
            </w:rPr>
            <w:t>9</w:t>
          </w:r>
          <w:r>
            <w:rPr>
              <w:rFonts w:eastAsia="楷体_GB2312"/>
            </w:rPr>
            <w:fldChar w:fldCharType="end"/>
          </w:r>
          <w:r>
            <w:rPr>
              <w:rFonts w:eastAsia="楷体_GB2312"/>
            </w:rPr>
            <w:fldChar w:fldCharType="end"/>
          </w:r>
        </w:p>
        <w:p w14:paraId="13B594EC">
          <w:pPr>
            <w:pStyle w:val="15"/>
            <w:tabs>
              <w:tab w:val="right" w:leader="dot" w:pos="8296"/>
            </w:tabs>
            <w:spacing w:line="360" w:lineRule="auto"/>
            <w:ind w:left="480"/>
            <w:rPr>
              <w:rFonts w:eastAsia="楷体_GB2312"/>
              <w:kern w:val="2"/>
              <w:sz w:val="22"/>
              <w14:ligatures w14:val="standardContextual"/>
            </w:rPr>
          </w:pPr>
          <w:r>
            <w:fldChar w:fldCharType="begin"/>
          </w:r>
          <w:r>
            <w:instrText xml:space="preserve"> HYPERLINK \l "_Toc179624681" </w:instrText>
          </w:r>
          <w:r>
            <w:fldChar w:fldCharType="separate"/>
          </w:r>
          <w:r>
            <w:rPr>
              <w:rStyle w:val="23"/>
              <w:rFonts w:eastAsia="楷体_GB2312"/>
              <w:bCs/>
            </w:rPr>
            <w:t>（三）标准主要内容</w:t>
          </w:r>
          <w:r>
            <w:rPr>
              <w:rFonts w:eastAsia="楷体_GB2312"/>
            </w:rPr>
            <w:tab/>
          </w:r>
          <w:r>
            <w:rPr>
              <w:rFonts w:eastAsia="楷体_GB2312"/>
            </w:rPr>
            <w:fldChar w:fldCharType="begin"/>
          </w:r>
          <w:r>
            <w:rPr>
              <w:rFonts w:eastAsia="楷体_GB2312"/>
            </w:rPr>
            <w:instrText xml:space="preserve"> PAGEREF _Toc179624681 \h </w:instrText>
          </w:r>
          <w:r>
            <w:rPr>
              <w:rFonts w:eastAsia="楷体_GB2312"/>
            </w:rPr>
            <w:fldChar w:fldCharType="separate"/>
          </w:r>
          <w:r>
            <w:rPr>
              <w:rFonts w:eastAsia="楷体_GB2312"/>
            </w:rPr>
            <w:t>12</w:t>
          </w:r>
          <w:r>
            <w:rPr>
              <w:rFonts w:eastAsia="楷体_GB2312"/>
            </w:rPr>
            <w:fldChar w:fldCharType="end"/>
          </w:r>
          <w:r>
            <w:rPr>
              <w:rFonts w:eastAsia="楷体_GB2312"/>
            </w:rPr>
            <w:fldChar w:fldCharType="end"/>
          </w:r>
        </w:p>
        <w:p w14:paraId="381ED283">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"_Toc179624682" </w:instrText>
          </w:r>
          <w:r>
            <w:fldChar w:fldCharType="separate"/>
          </w:r>
          <w:r>
            <w:rPr>
              <w:rStyle w:val="23"/>
              <w:rFonts w:eastAsia="楷体_GB2312"/>
            </w:rPr>
            <w:t>三、主要试验（或验证）情况分析</w:t>
          </w:r>
          <w:r>
            <w:rPr>
              <w:rFonts w:eastAsia="楷体_GB2312"/>
            </w:rPr>
            <w:tab/>
          </w:r>
          <w:r>
            <w:rPr>
              <w:rFonts w:eastAsia="楷体_GB2312"/>
            </w:rPr>
            <w:fldChar w:fldCharType="begin"/>
          </w:r>
          <w:r>
            <w:rPr>
              <w:rFonts w:eastAsia="楷体_GB2312"/>
            </w:rPr>
            <w:instrText xml:space="preserve"> PAGEREF _Toc179624682 \h </w:instrText>
          </w:r>
          <w:r>
            <w:rPr>
              <w:rFonts w:eastAsia="楷体_GB2312"/>
            </w:rPr>
            <w:fldChar w:fldCharType="separate"/>
          </w:r>
          <w:r>
            <w:rPr>
              <w:rFonts w:eastAsia="楷体_GB2312"/>
            </w:rPr>
            <w:t>14</w:t>
          </w:r>
          <w:r>
            <w:rPr>
              <w:rFonts w:eastAsia="楷体_GB2312"/>
            </w:rPr>
            <w:fldChar w:fldCharType="end"/>
          </w:r>
          <w:r>
            <w:rPr>
              <w:rFonts w:eastAsia="楷体_GB2312"/>
            </w:rPr>
            <w:fldChar w:fldCharType="end"/>
          </w:r>
        </w:p>
        <w:p w14:paraId="117ECEF3">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"_Toc179624683" </w:instrText>
          </w:r>
          <w:r>
            <w:fldChar w:fldCharType="separate"/>
          </w:r>
          <w:r>
            <w:rPr>
              <w:rStyle w:val="23"/>
              <w:rFonts w:eastAsia="楷体_GB2312"/>
            </w:rPr>
            <w:t>四、标准中涉及专利的情况</w:t>
          </w:r>
          <w:r>
            <w:rPr>
              <w:rFonts w:eastAsia="楷体_GB2312"/>
            </w:rPr>
            <w:tab/>
          </w:r>
          <w:r>
            <w:rPr>
              <w:rFonts w:eastAsia="楷体_GB2312"/>
            </w:rPr>
            <w:fldChar w:fldCharType="begin"/>
          </w:r>
          <w:r>
            <w:rPr>
              <w:rFonts w:eastAsia="楷体_GB2312"/>
            </w:rPr>
            <w:instrText xml:space="preserve"> PAGEREF _Toc179624683 \h </w:instrText>
          </w:r>
          <w:r>
            <w:rPr>
              <w:rFonts w:eastAsia="楷体_GB2312"/>
            </w:rPr>
            <w:fldChar w:fldCharType="separate"/>
          </w:r>
          <w:r>
            <w:rPr>
              <w:rFonts w:eastAsia="楷体_GB2312"/>
            </w:rPr>
            <w:t>14</w:t>
          </w:r>
          <w:r>
            <w:rPr>
              <w:rFonts w:eastAsia="楷体_GB2312"/>
            </w:rPr>
            <w:fldChar w:fldCharType="end"/>
          </w:r>
          <w:r>
            <w:rPr>
              <w:rFonts w:eastAsia="楷体_GB2312"/>
            </w:rPr>
            <w:fldChar w:fldCharType="end"/>
          </w:r>
        </w:p>
        <w:p w14:paraId="48D5EE35">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"_Toc179624684" </w:instrText>
          </w:r>
          <w:r>
            <w:fldChar w:fldCharType="separate"/>
          </w:r>
          <w:r>
            <w:rPr>
              <w:rStyle w:val="23"/>
              <w:rFonts w:eastAsia="楷体_GB2312"/>
            </w:rPr>
            <w:t>五、预期达到的社会效益、对产业发展的作用等情况</w:t>
          </w:r>
          <w:r>
            <w:rPr>
              <w:rFonts w:eastAsia="楷体_GB2312"/>
            </w:rPr>
            <w:tab/>
          </w:r>
          <w:r>
            <w:rPr>
              <w:rFonts w:eastAsia="楷体_GB2312"/>
            </w:rPr>
            <w:fldChar w:fldCharType="begin"/>
          </w:r>
          <w:r>
            <w:rPr>
              <w:rFonts w:eastAsia="楷体_GB2312"/>
            </w:rPr>
            <w:instrText xml:space="preserve"> PAGEREF _Toc179624684 \h </w:instrText>
          </w:r>
          <w:r>
            <w:rPr>
              <w:rFonts w:eastAsia="楷体_GB2312"/>
            </w:rPr>
            <w:fldChar w:fldCharType="separate"/>
          </w:r>
          <w:r>
            <w:rPr>
              <w:rFonts w:eastAsia="楷体_GB2312"/>
            </w:rPr>
            <w:t>14</w:t>
          </w:r>
          <w:r>
            <w:rPr>
              <w:rFonts w:eastAsia="楷体_GB2312"/>
            </w:rPr>
            <w:fldChar w:fldCharType="end"/>
          </w:r>
          <w:r>
            <w:rPr>
              <w:rFonts w:eastAsia="楷体_GB2312"/>
            </w:rPr>
            <w:fldChar w:fldCharType="end"/>
          </w:r>
        </w:p>
        <w:p w14:paraId="52204E5B">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"_Toc179624685" </w:instrText>
          </w:r>
          <w:r>
            <w:fldChar w:fldCharType="separate"/>
          </w:r>
          <w:r>
            <w:rPr>
              <w:rStyle w:val="23"/>
              <w:rFonts w:eastAsia="楷体_GB2312"/>
            </w:rPr>
            <w:t>六、与国际、国外同类标准技术内容的对比情况，或者与测试的国外样品、样机的有关数据对比情况</w:t>
          </w:r>
          <w:r>
            <w:rPr>
              <w:rFonts w:eastAsia="楷体_GB2312"/>
            </w:rPr>
            <w:tab/>
          </w:r>
          <w:r>
            <w:rPr>
              <w:rFonts w:eastAsia="楷体_GB2312"/>
            </w:rPr>
            <w:fldChar w:fldCharType="begin"/>
          </w:r>
          <w:r>
            <w:rPr>
              <w:rFonts w:eastAsia="楷体_GB2312"/>
            </w:rPr>
            <w:instrText xml:space="preserve"> PAGEREF _Toc179624685 \h </w:instrText>
          </w:r>
          <w:r>
            <w:rPr>
              <w:rFonts w:eastAsia="楷体_GB2312"/>
            </w:rPr>
            <w:fldChar w:fldCharType="separate"/>
          </w:r>
          <w:r>
            <w:rPr>
              <w:rFonts w:eastAsia="楷体_GB2312"/>
            </w:rPr>
            <w:t>15</w:t>
          </w:r>
          <w:r>
            <w:rPr>
              <w:rFonts w:eastAsia="楷体_GB2312"/>
            </w:rPr>
            <w:fldChar w:fldCharType="end"/>
          </w:r>
          <w:r>
            <w:rPr>
              <w:rFonts w:eastAsia="楷体_GB2312"/>
            </w:rPr>
            <w:fldChar w:fldCharType="end"/>
          </w:r>
        </w:p>
        <w:p w14:paraId="3C6AD080">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"_Toc179624686" </w:instrText>
          </w:r>
          <w:r>
            <w:fldChar w:fldCharType="separate"/>
          </w:r>
          <w:r>
            <w:rPr>
              <w:rStyle w:val="23"/>
              <w:rFonts w:eastAsia="楷体_GB2312"/>
            </w:rPr>
            <w:t>七、与有关的现行法律、法规和强制性标准的关系</w:t>
          </w:r>
          <w:r>
            <w:rPr>
              <w:rFonts w:eastAsia="楷体_GB2312"/>
            </w:rPr>
            <w:tab/>
          </w:r>
          <w:r>
            <w:rPr>
              <w:rFonts w:eastAsia="楷体_GB2312"/>
            </w:rPr>
            <w:fldChar w:fldCharType="begin"/>
          </w:r>
          <w:r>
            <w:rPr>
              <w:rFonts w:eastAsia="楷体_GB2312"/>
            </w:rPr>
            <w:instrText xml:space="preserve"> PAGEREF _Toc179624686 \h </w:instrText>
          </w:r>
          <w:r>
            <w:rPr>
              <w:rFonts w:eastAsia="楷体_GB2312"/>
            </w:rPr>
            <w:fldChar w:fldCharType="separate"/>
          </w:r>
          <w:r>
            <w:rPr>
              <w:rFonts w:eastAsia="楷体_GB2312"/>
            </w:rPr>
            <w:t>15</w:t>
          </w:r>
          <w:r>
            <w:rPr>
              <w:rFonts w:eastAsia="楷体_GB2312"/>
            </w:rPr>
            <w:fldChar w:fldCharType="end"/>
          </w:r>
          <w:r>
            <w:rPr>
              <w:rFonts w:eastAsia="楷体_GB2312"/>
            </w:rPr>
            <w:fldChar w:fldCharType="end"/>
          </w:r>
        </w:p>
        <w:p w14:paraId="68CD975D">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"_Toc179624687" </w:instrText>
          </w:r>
          <w:r>
            <w:fldChar w:fldCharType="separate"/>
          </w:r>
          <w:r>
            <w:rPr>
              <w:rStyle w:val="23"/>
              <w:rFonts w:eastAsia="楷体_GB2312"/>
            </w:rPr>
            <w:t>八、重大分歧意见的处理经过和依据</w:t>
          </w:r>
          <w:r>
            <w:rPr>
              <w:rFonts w:eastAsia="楷体_GB2312"/>
            </w:rPr>
            <w:tab/>
          </w:r>
          <w:r>
            <w:rPr>
              <w:rFonts w:eastAsia="楷体_GB2312"/>
            </w:rPr>
            <w:fldChar w:fldCharType="begin"/>
          </w:r>
          <w:r>
            <w:rPr>
              <w:rFonts w:eastAsia="楷体_GB2312"/>
            </w:rPr>
            <w:instrText xml:space="preserve"> PAGEREF _Toc179624687 \h </w:instrText>
          </w:r>
          <w:r>
            <w:rPr>
              <w:rFonts w:eastAsia="楷体_GB2312"/>
            </w:rPr>
            <w:fldChar w:fldCharType="separate"/>
          </w:r>
          <w:r>
            <w:rPr>
              <w:rFonts w:eastAsia="楷体_GB2312"/>
            </w:rPr>
            <w:t>15</w:t>
          </w:r>
          <w:r>
            <w:rPr>
              <w:rFonts w:eastAsia="楷体_GB2312"/>
            </w:rPr>
            <w:fldChar w:fldCharType="end"/>
          </w:r>
          <w:r>
            <w:rPr>
              <w:rFonts w:eastAsia="楷体_GB2312"/>
            </w:rPr>
            <w:fldChar w:fldCharType="end"/>
          </w:r>
        </w:p>
        <w:p w14:paraId="3234B4F6">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"_Toc179624688" </w:instrText>
          </w:r>
          <w:r>
            <w:fldChar w:fldCharType="separate"/>
          </w:r>
          <w:r>
            <w:rPr>
              <w:rStyle w:val="23"/>
              <w:rFonts w:eastAsia="楷体_GB2312"/>
            </w:rPr>
            <w:t>九、作为强制性标准或推荐性标准的建议</w:t>
          </w:r>
          <w:r>
            <w:rPr>
              <w:rFonts w:eastAsia="楷体_GB2312"/>
            </w:rPr>
            <w:tab/>
          </w:r>
          <w:r>
            <w:rPr>
              <w:rFonts w:eastAsia="楷体_GB2312"/>
            </w:rPr>
            <w:fldChar w:fldCharType="begin"/>
          </w:r>
          <w:r>
            <w:rPr>
              <w:rFonts w:eastAsia="楷体_GB2312"/>
            </w:rPr>
            <w:instrText xml:space="preserve"> PAGEREF _Toc179624688 \h </w:instrText>
          </w:r>
          <w:r>
            <w:rPr>
              <w:rFonts w:eastAsia="楷体_GB2312"/>
            </w:rPr>
            <w:fldChar w:fldCharType="separate"/>
          </w:r>
          <w:r>
            <w:rPr>
              <w:rFonts w:eastAsia="楷体_GB2312"/>
            </w:rPr>
            <w:t>15</w:t>
          </w:r>
          <w:r>
            <w:rPr>
              <w:rFonts w:eastAsia="楷体_GB2312"/>
            </w:rPr>
            <w:fldChar w:fldCharType="end"/>
          </w:r>
          <w:r>
            <w:rPr>
              <w:rFonts w:eastAsia="楷体_GB2312"/>
            </w:rPr>
            <w:fldChar w:fldCharType="end"/>
          </w:r>
        </w:p>
        <w:p w14:paraId="2B0F039B">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"_Toc179624689" </w:instrText>
          </w:r>
          <w:r>
            <w:fldChar w:fldCharType="separate"/>
          </w:r>
          <w:r>
            <w:rPr>
              <w:rStyle w:val="23"/>
              <w:rFonts w:eastAsia="楷体_GB2312"/>
            </w:rPr>
            <w:t>十、贯彻标准的要求和措施建议</w:t>
          </w:r>
          <w:r>
            <w:rPr>
              <w:rFonts w:eastAsia="楷体_GB2312"/>
            </w:rPr>
            <w:tab/>
          </w:r>
          <w:r>
            <w:rPr>
              <w:rFonts w:eastAsia="楷体_GB2312"/>
            </w:rPr>
            <w:fldChar w:fldCharType="begin"/>
          </w:r>
          <w:r>
            <w:rPr>
              <w:rFonts w:eastAsia="楷体_GB2312"/>
            </w:rPr>
            <w:instrText xml:space="preserve"> PAGEREF _Toc179624689 \h </w:instrText>
          </w:r>
          <w:r>
            <w:rPr>
              <w:rFonts w:eastAsia="楷体_GB2312"/>
            </w:rPr>
            <w:fldChar w:fldCharType="separate"/>
          </w:r>
          <w:r>
            <w:rPr>
              <w:rFonts w:eastAsia="楷体_GB2312"/>
            </w:rPr>
            <w:t>16</w:t>
          </w:r>
          <w:r>
            <w:rPr>
              <w:rFonts w:eastAsia="楷体_GB2312"/>
            </w:rPr>
            <w:fldChar w:fldCharType="end"/>
          </w:r>
          <w:r>
            <w:rPr>
              <w:rFonts w:eastAsia="楷体_GB2312"/>
            </w:rPr>
            <w:fldChar w:fldCharType="end"/>
          </w:r>
        </w:p>
        <w:p w14:paraId="7A0A1AA9">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"_Toc179624690" </w:instrText>
          </w:r>
          <w:r>
            <w:fldChar w:fldCharType="separate"/>
          </w:r>
          <w:r>
            <w:rPr>
              <w:rStyle w:val="23"/>
              <w:rFonts w:eastAsia="楷体_GB2312"/>
            </w:rPr>
            <w:t>十一、废止现行有关标准的建议</w:t>
          </w:r>
          <w:r>
            <w:rPr>
              <w:rFonts w:eastAsia="楷体_GB2312"/>
            </w:rPr>
            <w:tab/>
          </w:r>
          <w:r>
            <w:rPr>
              <w:rFonts w:eastAsia="楷体_GB2312"/>
            </w:rPr>
            <w:fldChar w:fldCharType="begin"/>
          </w:r>
          <w:r>
            <w:rPr>
              <w:rFonts w:eastAsia="楷体_GB2312"/>
            </w:rPr>
            <w:instrText xml:space="preserve"> PAGEREF _Toc179624690 \h </w:instrText>
          </w:r>
          <w:r>
            <w:rPr>
              <w:rFonts w:eastAsia="楷体_GB2312"/>
            </w:rPr>
            <w:fldChar w:fldCharType="separate"/>
          </w:r>
          <w:r>
            <w:rPr>
              <w:rFonts w:eastAsia="楷体_GB2312"/>
            </w:rPr>
            <w:t>16</w:t>
          </w:r>
          <w:r>
            <w:rPr>
              <w:rFonts w:eastAsia="楷体_GB2312"/>
            </w:rPr>
            <w:fldChar w:fldCharType="end"/>
          </w:r>
          <w:r>
            <w:rPr>
              <w:rFonts w:eastAsia="楷体_GB2312"/>
            </w:rPr>
            <w:fldChar w:fldCharType="end"/>
          </w:r>
        </w:p>
        <w:p w14:paraId="70ADBEED">
          <w:pPr>
            <w:pStyle w:val="14"/>
            <w:tabs>
              <w:tab w:val="right" w:leader="dot" w:pos="8296"/>
            </w:tabs>
            <w:spacing w:line="360" w:lineRule="auto"/>
            <w:rPr>
              <w:rFonts w:eastAsia="楷体_GB2312"/>
              <w:kern w:val="2"/>
              <w:sz w:val="22"/>
              <w14:ligatures w14:val="standardContextual"/>
            </w:rPr>
          </w:pPr>
          <w:r>
            <w:fldChar w:fldCharType="begin"/>
          </w:r>
          <w:r>
            <w:instrText xml:space="preserve"> HYPERLINK \l "_Toc179624691" </w:instrText>
          </w:r>
          <w:r>
            <w:fldChar w:fldCharType="separate"/>
          </w:r>
          <w:r>
            <w:rPr>
              <w:rStyle w:val="23"/>
              <w:rFonts w:eastAsia="楷体_GB2312"/>
            </w:rPr>
            <w:t>十二、其他应予说明的事项</w:t>
          </w:r>
          <w:r>
            <w:rPr>
              <w:rFonts w:eastAsia="楷体_GB2312"/>
            </w:rPr>
            <w:tab/>
          </w:r>
          <w:r>
            <w:rPr>
              <w:rFonts w:eastAsia="楷体_GB2312"/>
            </w:rPr>
            <w:fldChar w:fldCharType="begin"/>
          </w:r>
          <w:r>
            <w:rPr>
              <w:rFonts w:eastAsia="楷体_GB2312"/>
            </w:rPr>
            <w:instrText xml:space="preserve"> PAGEREF _Toc179624691 \h </w:instrText>
          </w:r>
          <w:r>
            <w:rPr>
              <w:rFonts w:eastAsia="楷体_GB2312"/>
            </w:rPr>
            <w:fldChar w:fldCharType="separate"/>
          </w:r>
          <w:r>
            <w:rPr>
              <w:rFonts w:eastAsia="楷体_GB2312"/>
            </w:rPr>
            <w:t>16</w:t>
          </w:r>
          <w:r>
            <w:rPr>
              <w:rFonts w:eastAsia="楷体_GB2312"/>
            </w:rPr>
            <w:fldChar w:fldCharType="end"/>
          </w:r>
          <w:r>
            <w:rPr>
              <w:rFonts w:eastAsia="楷体_GB2312"/>
            </w:rPr>
            <w:fldChar w:fldCharType="end"/>
          </w:r>
        </w:p>
        <w:p w14:paraId="71F11AD6">
          <w:pPr>
            <w:spacing w:line="360" w:lineRule="auto"/>
          </w:pPr>
          <w:r>
            <w:rPr>
              <w:rFonts w:eastAsia="楷体_GB2312"/>
            </w:rPr>
            <w:fldChar w:fldCharType="end"/>
          </w:r>
        </w:p>
      </w:sdtContent>
    </w:sdt>
    <w:p w14:paraId="70CCA55D">
      <w:pPr>
        <w:rPr>
          <w:rFonts w:eastAsia="楷体"/>
        </w:rPr>
      </w:pPr>
      <w:r>
        <w:rPr>
          <w:rFonts w:eastAsia="楷体"/>
        </w:rPr>
        <w:br w:type="page"/>
      </w:r>
    </w:p>
    <w:p w14:paraId="34366432">
      <w:pPr>
        <w:pStyle w:val="2"/>
        <w:numPr>
          <w:ilvl w:val="0"/>
          <w:numId w:val="1"/>
        </w:numPr>
        <w:ind w:firstLine="562"/>
        <w:rPr>
          <w:rFonts w:ascii="Times New Roman" w:hAnsi="Times New Roman"/>
        </w:rPr>
      </w:pPr>
      <w:bookmarkStart w:id="2" w:name="_Toc179624674"/>
      <w:r>
        <w:rPr>
          <w:rFonts w:hint="eastAsia" w:ascii="Times New Roman" w:hAnsi="Times New Roman"/>
        </w:rPr>
        <w:t>工作简况</w:t>
      </w:r>
      <w:bookmarkEnd w:id="2"/>
    </w:p>
    <w:p w14:paraId="5B5F1F3B">
      <w:pPr>
        <w:pStyle w:val="3"/>
        <w:ind w:left="0" w:firstLine="420"/>
        <w:rPr>
          <w:rFonts w:ascii="Times New Roman" w:hAnsi="Times New Roman"/>
        </w:rPr>
      </w:pPr>
      <w:bookmarkStart w:id="3" w:name="_Toc179624675"/>
      <w:r>
        <w:rPr>
          <w:rFonts w:hint="eastAsia" w:ascii="Times New Roman" w:hAnsi="Times New Roman"/>
        </w:rPr>
        <w:t>（一）任务来源</w:t>
      </w:r>
      <w:bookmarkEnd w:id="3"/>
    </w:p>
    <w:p w14:paraId="67B5A607">
      <w:pPr>
        <w:ind w:firstLine="560" w:firstLineChars="200"/>
        <w:jc w:val="both"/>
        <w:rPr>
          <w:rFonts w:eastAsia="楷体" w:cs="宋体"/>
          <w:color w:val="000000"/>
          <w:sz w:val="28"/>
          <w:szCs w:val="28"/>
          <w:lang w:bidi="ar"/>
        </w:rPr>
      </w:pPr>
      <w:r>
        <w:rPr>
          <w:rFonts w:hint="eastAsia" w:eastAsia="楷体" w:cs="宋体"/>
          <w:color w:val="000000"/>
          <w:sz w:val="28"/>
          <w:szCs w:val="28"/>
          <w:lang w:bidi="ar"/>
        </w:rPr>
        <w:t>为防止生猪产能大起大落，促进生猪产业平稳健康发展，农业农村部连续发布了《关于促进生猪产业持续健康发展的意见》（农牧发〔2021〕24号）等政策，强调进一步加大对非洲猪瘟等重大动物疫病进行监控的工作力度，鼓励养殖场采用自动化、信息化技术对养殖场进行升级改造。中国农业科学院农业信息研究所承担《生猪养殖生物安全信息化监控技术规范》标准制定工作，项目编号为NYB-22233。</w:t>
      </w:r>
    </w:p>
    <w:p w14:paraId="477E9F09">
      <w:pPr>
        <w:pStyle w:val="3"/>
        <w:ind w:left="0" w:firstLine="420"/>
        <w:rPr>
          <w:rFonts w:ascii="Times New Roman" w:hAnsi="Times New Roman"/>
        </w:rPr>
      </w:pPr>
      <w:bookmarkStart w:id="4" w:name="_Toc179624676"/>
      <w:r>
        <w:rPr>
          <w:rFonts w:hint="eastAsia" w:ascii="Times New Roman" w:hAnsi="Times New Roman"/>
        </w:rPr>
        <w:t>（二）制定背景</w:t>
      </w:r>
      <w:bookmarkEnd w:id="4"/>
    </w:p>
    <w:p w14:paraId="6B174A7D">
      <w:pPr>
        <w:pStyle w:val="16"/>
        <w:kinsoku w:val="0"/>
        <w:overflowPunct w:val="0"/>
        <w:spacing w:beforeAutospacing="0" w:afterAutospacing="0" w:line="360" w:lineRule="auto"/>
        <w:ind w:firstLine="420"/>
        <w:jc w:val="both"/>
        <w:rPr>
          <w:rFonts w:eastAsia="楷体" w:cs="宋体"/>
          <w:b/>
          <w:kern w:val="2"/>
          <w:sz w:val="28"/>
          <w:szCs w:val="28"/>
          <w:lang w:bidi="ar"/>
        </w:rPr>
      </w:pPr>
      <w:bookmarkStart w:id="5" w:name="_Hlk179366314"/>
      <w:r>
        <w:rPr>
          <w:rFonts w:hint="eastAsia" w:eastAsia="楷体" w:cs="宋体"/>
          <w:b/>
          <w:kern w:val="2"/>
          <w:sz w:val="28"/>
          <w:szCs w:val="28"/>
          <w:lang w:bidi="ar"/>
        </w:rPr>
        <w:t>1. 生猪养殖生物安全监控是保障生猪产业健康发展的关键。</w:t>
      </w:r>
    </w:p>
    <w:bookmarkEnd w:id="5"/>
    <w:p w14:paraId="7791876E">
      <w:pPr>
        <w:ind w:firstLine="560" w:firstLineChars="200"/>
        <w:jc w:val="both"/>
        <w:rPr>
          <w:rFonts w:eastAsia="楷体"/>
          <w:color w:val="000000"/>
          <w:sz w:val="28"/>
          <w:szCs w:val="28"/>
          <w:lang w:bidi="ar"/>
        </w:rPr>
      </w:pPr>
      <w:r>
        <w:rPr>
          <w:rFonts w:hint="eastAsia" w:eastAsia="楷体"/>
          <w:color w:val="000000"/>
          <w:sz w:val="28"/>
          <w:szCs w:val="28"/>
          <w:lang w:bidi="ar"/>
        </w:rPr>
        <w:t>生物安全不仅关乎人民的生命健康，也关乎国家的长治久安与中华民族的永续发展。鉴于此，党中央高度重视生物安全建设，将其纳入国家安全战略之中，并颁布了《中华人民共和国生物安全法》，旨在通过强化系统的管理和全面的链条监控来提高生物安全水平，尤其是增强对潜在威胁的早期发现和快速反应能力。近年来，由于非洲猪瘟等重大动物疫病的影响，我国的生猪养殖业遭遇了前所未有的挑战，导致国内生猪出栏量和存栏量显著下降，进而引发了猪肉市场价格的持续上涨。面对这样的形势，加强生猪养殖环节的生物安全管理，构建科学有效的疾病预防控制体系，对于恢复和发展生猪生产、稳定市场供应具有极其重要的意义。。</w:t>
      </w:r>
    </w:p>
    <w:p w14:paraId="25058810">
      <w:pPr>
        <w:pStyle w:val="16"/>
        <w:kinsoku w:val="0"/>
        <w:overflowPunct w:val="0"/>
        <w:spacing w:beforeAutospacing="0" w:afterAutospacing="0" w:line="360" w:lineRule="auto"/>
        <w:ind w:firstLine="420"/>
        <w:jc w:val="both"/>
        <w:rPr>
          <w:rFonts w:eastAsia="楷体" w:cs="宋体"/>
          <w:b/>
          <w:kern w:val="2"/>
          <w:sz w:val="28"/>
          <w:szCs w:val="28"/>
          <w:lang w:bidi="ar"/>
        </w:rPr>
      </w:pPr>
      <w:bookmarkStart w:id="6" w:name="_Hlk179366320"/>
      <w:r>
        <w:rPr>
          <w:rFonts w:eastAsia="楷体"/>
          <w:bCs/>
          <w:kern w:val="2"/>
          <w:sz w:val="28"/>
          <w:szCs w:val="28"/>
          <w:lang w:bidi="ar"/>
        </w:rPr>
        <w:t>2.</w:t>
      </w:r>
      <w:r>
        <w:rPr>
          <w:rFonts w:hint="eastAsia"/>
        </w:rPr>
        <w:t xml:space="preserve"> </w:t>
      </w:r>
      <w:r>
        <w:rPr>
          <w:rFonts w:hint="eastAsia" w:eastAsia="楷体" w:cs="宋体"/>
          <w:b/>
          <w:kern w:val="2"/>
          <w:sz w:val="28"/>
          <w:szCs w:val="28"/>
          <w:lang w:bidi="ar"/>
        </w:rPr>
        <w:t>生猪养殖生物安全信息化监控技术规范是提升疫病防控能力的重要工具</w:t>
      </w:r>
      <w:r>
        <w:rPr>
          <w:rFonts w:eastAsia="楷体" w:cs="宋体"/>
          <w:b/>
          <w:kern w:val="2"/>
          <w:sz w:val="28"/>
          <w:szCs w:val="28"/>
          <w:lang w:bidi="ar"/>
        </w:rPr>
        <w:t>。</w:t>
      </w:r>
    </w:p>
    <w:bookmarkEnd w:id="6"/>
    <w:p w14:paraId="6041A673">
      <w:pPr>
        <w:ind w:firstLine="560" w:firstLineChars="200"/>
        <w:jc w:val="both"/>
        <w:rPr>
          <w:rFonts w:eastAsia="楷体"/>
          <w:color w:val="000000"/>
          <w:sz w:val="28"/>
          <w:szCs w:val="28"/>
          <w:lang w:bidi="ar"/>
        </w:rPr>
      </w:pPr>
      <w:r>
        <w:rPr>
          <w:rFonts w:hint="eastAsia" w:eastAsia="楷体"/>
          <w:color w:val="000000"/>
          <w:sz w:val="28"/>
          <w:szCs w:val="28"/>
          <w:lang w:bidi="ar"/>
        </w:rPr>
        <w:t>随着信息技术的迅猛发展，将其应用于生猪养殖的生物安全监控领域，防止生猪疫病传播，推动生物安全管理升级，成为提高疫病防控效率、保障产业健康发展的重要手段。建立完善的生猪养殖生物安全信息化监控技术规范，不仅能实现对养殖场内外环境、动物健康状态、饲料安全性、车辆、人员等多方面信息的实时采集与动态监测，还能借助物联网（IoT）、云计算、大数据分析及人工智能（AI）等现代科技手段，对收集的数据进行深度挖掘和智能分析，实现早期预警与快速响应、精准管理与个性化服务、资源优化配置与成本节约等多重目标。生猪养殖生物安全信息化监控技术规范的应用，不仅有助于提升疫病防控能力，还将推动生猪养殖业向智能化、绿色化方向转型，对于保障食品安全、维护生态平衡以及促进农村经济发展具有深远的意义。</w:t>
      </w:r>
    </w:p>
    <w:p w14:paraId="519B8569">
      <w:pPr>
        <w:pStyle w:val="16"/>
        <w:kinsoku w:val="0"/>
        <w:overflowPunct w:val="0"/>
        <w:spacing w:beforeAutospacing="0" w:afterAutospacing="0" w:line="360" w:lineRule="auto"/>
        <w:ind w:firstLine="420"/>
        <w:jc w:val="both"/>
        <w:rPr>
          <w:rFonts w:eastAsia="楷体" w:cs="宋体"/>
          <w:b/>
          <w:kern w:val="2"/>
          <w:sz w:val="28"/>
          <w:szCs w:val="28"/>
          <w:lang w:bidi="ar"/>
        </w:rPr>
      </w:pPr>
      <w:bookmarkStart w:id="7" w:name="_Hlk179366323"/>
      <w:r>
        <w:rPr>
          <w:rFonts w:eastAsia="楷体"/>
          <w:bCs/>
          <w:kern w:val="2"/>
          <w:sz w:val="28"/>
          <w:szCs w:val="28"/>
          <w:lang w:bidi="ar"/>
        </w:rPr>
        <w:t>3.</w:t>
      </w:r>
      <w:r>
        <w:rPr>
          <w:rFonts w:hint="eastAsia"/>
        </w:rPr>
        <w:t xml:space="preserve"> </w:t>
      </w:r>
      <w:r>
        <w:rPr>
          <w:rFonts w:hint="eastAsia" w:eastAsia="楷体" w:cs="宋体"/>
          <w:b/>
          <w:kern w:val="2"/>
          <w:sz w:val="28"/>
          <w:szCs w:val="28"/>
          <w:lang w:bidi="ar"/>
        </w:rPr>
        <w:t>生猪养殖生物安全信息化监控技术效益的最大化需要标准化支撑</w:t>
      </w:r>
      <w:r>
        <w:rPr>
          <w:rFonts w:eastAsia="楷体" w:cs="宋体"/>
          <w:b/>
          <w:kern w:val="2"/>
          <w:sz w:val="28"/>
          <w:szCs w:val="28"/>
          <w:lang w:bidi="ar"/>
        </w:rPr>
        <w:t>。</w:t>
      </w:r>
    </w:p>
    <w:bookmarkEnd w:id="7"/>
    <w:p w14:paraId="5659DBBE">
      <w:pPr>
        <w:ind w:firstLine="560" w:firstLineChars="200"/>
        <w:jc w:val="both"/>
        <w:rPr>
          <w:rFonts w:eastAsia="楷体"/>
          <w:color w:val="000000"/>
          <w:sz w:val="28"/>
          <w:szCs w:val="28"/>
          <w:lang w:bidi="ar"/>
        </w:rPr>
      </w:pPr>
      <w:r>
        <w:rPr>
          <w:rFonts w:hint="eastAsia" w:eastAsia="楷体"/>
          <w:color w:val="000000"/>
          <w:sz w:val="28"/>
          <w:szCs w:val="28"/>
          <w:lang w:bidi="ar"/>
        </w:rPr>
        <w:t>生猪养殖生物安全信息化监控技术在疫病防控中发挥着重要作用，标准化体系的建立至关重要。这项技术涵盖数据采集、传输、存储和分析的各个环节，只有通过标准化，才能确保信息的一致性和可靠性。统一的数据格式和接口标准能够实现不同系统和设备的无缝对接，减少信息孤岛现象，提高数据处理效率，从而避免重复建设和资源浪费。此外，生物安全信息化监控技术的标准化可以提升系统的稳定性和运行效率。完善的技术标准涵盖硬件、软件和数据处理流程，有助于减少人为操作失误，确保系统长期稳定运行。明确的操作规程和技术规范不仅降低了运维成本，也为养殖场的生物安全提供了保障。标准化还为技术创新提供了基础，鼓励企业参与研发与产品创新，推动行业技术进步，提升整体生物安全水平。</w:t>
      </w:r>
      <w:r>
        <w:rPr>
          <w:rFonts w:hint="eastAsia" w:ascii="Times New Roman" w:hAnsi="Times New Roman" w:eastAsia="楷体" w:cs="Times New Roman"/>
          <w:b/>
          <w:bCs/>
          <w:sz w:val="28"/>
          <w:szCs w:val="28"/>
        </w:rPr>
        <w:t>通</w:t>
      </w:r>
      <w:bookmarkStart w:id="24" w:name="_GoBack"/>
      <w:bookmarkEnd w:id="24"/>
      <w:r>
        <w:rPr>
          <w:rFonts w:hint="eastAsia" w:ascii="Times New Roman" w:hAnsi="Times New Roman" w:eastAsia="楷体" w:cs="Times New Roman"/>
          <w:b/>
          <w:bCs/>
          <w:sz w:val="28"/>
          <w:szCs w:val="28"/>
        </w:rPr>
        <w:t>过</w:t>
      </w:r>
      <w:r>
        <w:rPr>
          <w:rFonts w:hint="eastAsia" w:eastAsia="楷体"/>
          <w:color w:val="000000"/>
          <w:sz w:val="28"/>
          <w:szCs w:val="28"/>
          <w:lang w:bidi="ar"/>
        </w:rPr>
        <w:t>建立完善的标准化体系，不仅能够推动技术的广泛应用，降低成本，还能提升行业竞争力，实现疫病防控与经济效益的双赢，促进生猪养殖行业的可持续发展。</w:t>
      </w:r>
    </w:p>
    <w:p w14:paraId="26B4E923">
      <w:pPr>
        <w:pStyle w:val="16"/>
        <w:kinsoku w:val="0"/>
        <w:overflowPunct w:val="0"/>
        <w:spacing w:beforeAutospacing="0" w:afterAutospacing="0" w:line="360" w:lineRule="auto"/>
        <w:ind w:firstLine="420"/>
        <w:jc w:val="both"/>
        <w:rPr>
          <w:rFonts w:eastAsia="楷体" w:cs="宋体"/>
          <w:b/>
          <w:kern w:val="2"/>
          <w:sz w:val="28"/>
          <w:szCs w:val="28"/>
          <w:lang w:bidi="ar"/>
        </w:rPr>
      </w:pPr>
      <w:bookmarkStart w:id="8" w:name="_Hlk179366327"/>
      <w:r>
        <w:rPr>
          <w:rFonts w:eastAsia="楷体" w:cs="宋体"/>
          <w:b/>
          <w:kern w:val="2"/>
          <w:sz w:val="28"/>
          <w:szCs w:val="28"/>
          <w:lang w:bidi="ar"/>
        </w:rPr>
        <w:t>4.</w:t>
      </w:r>
      <w:r>
        <w:rPr>
          <w:rFonts w:hint="eastAsia" w:eastAsia="楷体" w:cs="宋体"/>
          <w:b/>
          <w:kern w:val="2"/>
          <w:sz w:val="28"/>
          <w:szCs w:val="28"/>
          <w:lang w:bidi="ar"/>
        </w:rPr>
        <w:t xml:space="preserve"> 生猪养殖生物安全信息化监控技术的持续健康发展需要统一的技术规范。</w:t>
      </w:r>
    </w:p>
    <w:bookmarkEnd w:id="8"/>
    <w:p w14:paraId="0560A01C">
      <w:pPr>
        <w:ind w:firstLine="560" w:firstLineChars="200"/>
        <w:jc w:val="both"/>
        <w:rPr>
          <w:rFonts w:eastAsia="楷体" w:cs="宋体"/>
          <w:color w:val="000000"/>
          <w:sz w:val="28"/>
          <w:szCs w:val="28"/>
          <w:lang w:bidi="ar"/>
        </w:rPr>
      </w:pPr>
      <w:r>
        <w:rPr>
          <w:rFonts w:hint="eastAsia" w:eastAsia="楷体"/>
          <w:color w:val="000000"/>
          <w:sz w:val="28"/>
          <w:szCs w:val="28"/>
          <w:lang w:bidi="ar"/>
        </w:rPr>
        <w:t>为确保生猪养殖场生物安全管理的长期有效，信息化监控技术的应用必须依赖统一的技术规范。这一规范不仅能够提高生物安全管理的效率，还推动整个行业水平的提升，确保信息化监控技术的持续健康发展。统一的技术规范为技术研发和产品设计提供明确指导，避免因标准不一而导致的市场混乱和技术壁垒，促进技术成果的广泛应用与快速普及。同时，技术规范的制定需考虑法律法规的要求与社会伦理的考量，确保技术应用符合国家相关规定，保护消费者权益，维护社会公共利益。定期评估和更新技术规范，以适应科技进步和市场需求的变化，也是保持技术活力、推动产业升级的关键。通过构建开放、透明、协作的技术规范体系，可以吸引更多科研机构和企业参与技术创新，共同推进生猪养殖生物安全信息化监控技术的进步与发展。这将为行业的可持续发展奠定坚实基础。</w:t>
      </w:r>
    </w:p>
    <w:p w14:paraId="66EB1515">
      <w:pPr>
        <w:ind w:firstLine="560" w:firstLineChars="200"/>
        <w:jc w:val="both"/>
        <w:rPr>
          <w:rFonts w:eastAsia="楷体"/>
          <w:color w:val="000000"/>
          <w:sz w:val="28"/>
          <w:szCs w:val="28"/>
          <w:lang w:bidi="ar"/>
        </w:rPr>
      </w:pPr>
      <w:r>
        <w:rPr>
          <w:rFonts w:hint="eastAsia" w:eastAsia="楷体"/>
          <w:color w:val="000000"/>
          <w:sz w:val="28"/>
          <w:szCs w:val="28"/>
          <w:lang w:bidi="ar"/>
        </w:rPr>
        <w:t>近年来，非洲猪瘟等疫病严重影响了生猪出栏量和市场稳定，迫切需要构建科学有效的疫病防控体系。与此同时，信息技术的迅猛发展为生猪养殖带来了新的机遇，通过信息化监控技术，可以实时采集和分析养殖环境及动物健康数据，提升疫病防控能力，实现早期预警和精准管理。因此，建立统一的技术规范不仅能提高系统的稳定性和运行效率，还将推动生猪养殖行业的智能化转型和可持续发展，实现经济效益与生物安全的双赢，为保障食品安全和生态平衡做出积极贡献。</w:t>
      </w:r>
    </w:p>
    <w:p w14:paraId="1E4DC631">
      <w:pPr>
        <w:pStyle w:val="3"/>
        <w:ind w:left="0" w:firstLine="420"/>
        <w:rPr>
          <w:rFonts w:ascii="Times New Roman" w:hAnsi="Times New Roman"/>
          <w:bCs/>
        </w:rPr>
      </w:pPr>
      <w:bookmarkStart w:id="9" w:name="_Toc179624677"/>
      <w:r>
        <w:rPr>
          <w:rFonts w:hint="eastAsia" w:ascii="Times New Roman" w:hAnsi="Times New Roman"/>
          <w:bCs/>
        </w:rPr>
        <w:t>（三）主要起草过程</w:t>
      </w:r>
      <w:bookmarkEnd w:id="9"/>
    </w:p>
    <w:p w14:paraId="23340794">
      <w:pPr>
        <w:ind w:firstLine="560" w:firstLineChars="200"/>
        <w:jc w:val="both"/>
        <w:rPr>
          <w:rFonts w:eastAsia="楷体"/>
          <w:sz w:val="28"/>
          <w:szCs w:val="28"/>
        </w:rPr>
      </w:pPr>
      <w:r>
        <w:rPr>
          <w:rFonts w:eastAsia="楷体"/>
          <w:sz w:val="28"/>
          <w:szCs w:val="28"/>
        </w:rPr>
        <w:t>为有效</w:t>
      </w:r>
      <w:r>
        <w:rPr>
          <w:rFonts w:eastAsia="楷体" w:cs="宋体"/>
          <w:sz w:val="28"/>
          <w:szCs w:val="28"/>
        </w:rPr>
        <w:t>推进</w:t>
      </w:r>
      <w:r>
        <w:rPr>
          <w:rFonts w:eastAsia="楷体"/>
          <w:sz w:val="28"/>
          <w:szCs w:val="28"/>
        </w:rPr>
        <w:t>标准制定工作，项目组构建了顶层设计、分工协作、信息共享、协同高效的工作</w:t>
      </w:r>
      <w:r>
        <w:rPr>
          <w:rFonts w:hint="eastAsia" w:eastAsia="楷体"/>
          <w:sz w:val="28"/>
          <w:szCs w:val="28"/>
        </w:rPr>
        <w:t>模式</w:t>
      </w:r>
      <w:r>
        <w:rPr>
          <w:rFonts w:eastAsia="楷体"/>
          <w:sz w:val="28"/>
          <w:szCs w:val="28"/>
        </w:rPr>
        <w:t>，注重标准制定工作的系统性、整体性、协同性。</w:t>
      </w:r>
    </w:p>
    <w:p w14:paraId="47662DF2">
      <w:pPr>
        <w:ind w:firstLine="562" w:firstLineChars="200"/>
        <w:jc w:val="both"/>
        <w:rPr>
          <w:rFonts w:eastAsia="楷体"/>
          <w:b/>
          <w:bCs/>
          <w:sz w:val="28"/>
          <w:szCs w:val="28"/>
        </w:rPr>
      </w:pPr>
      <w:r>
        <w:rPr>
          <w:rFonts w:hint="eastAsia" w:eastAsia="楷体"/>
          <w:b/>
          <w:bCs/>
          <w:sz w:val="28"/>
          <w:szCs w:val="28"/>
        </w:rPr>
        <w:t>1、项目立项</w:t>
      </w:r>
    </w:p>
    <w:p w14:paraId="4AE8D3FE">
      <w:pPr>
        <w:ind w:firstLine="560" w:firstLineChars="200"/>
        <w:jc w:val="both"/>
        <w:rPr>
          <w:rFonts w:eastAsia="楷体"/>
          <w:sz w:val="28"/>
          <w:szCs w:val="28"/>
        </w:rPr>
      </w:pPr>
      <w:r>
        <w:rPr>
          <w:rFonts w:hint="eastAsia" w:eastAsia="楷体"/>
          <w:sz w:val="28"/>
          <w:szCs w:val="28"/>
        </w:rPr>
        <w:t>2022年初，中国农业科学院农业信息研究所向农业农村部农业信息化标准化技术委员会提出申请，拟开展《生猪养殖生物安全信息化监控技术规范》标准申请立项。2022年4月，农业农村部农产品质量安全监管司发文《关于下达2022年农业国家和行业标准制修订项目计划的通知》（农质标函</w:t>
      </w:r>
      <w:r>
        <w:rPr>
          <w:rFonts w:hint="eastAsia" w:ascii="楷体" w:hAnsi="楷体" w:eastAsia="楷体"/>
          <w:sz w:val="28"/>
          <w:szCs w:val="28"/>
        </w:rPr>
        <w:t>〔2022〕66号</w:t>
      </w:r>
      <w:r>
        <w:rPr>
          <w:rFonts w:hint="eastAsia" w:eastAsia="楷体"/>
          <w:sz w:val="28"/>
          <w:szCs w:val="28"/>
        </w:rPr>
        <w:t>），同意该标准正式立项，项目编号为：NYB-22233。</w:t>
      </w:r>
    </w:p>
    <w:p w14:paraId="1CA3BFB0">
      <w:pPr>
        <w:ind w:firstLine="562" w:firstLineChars="200"/>
        <w:jc w:val="both"/>
        <w:rPr>
          <w:rFonts w:hint="eastAsia" w:ascii="Times New Roman" w:hAnsi="Times New Roman" w:eastAsia="楷体" w:cs="Times New Roman"/>
          <w:b/>
          <w:bCs/>
          <w:sz w:val="28"/>
          <w:szCs w:val="28"/>
        </w:rPr>
      </w:pPr>
      <w:r>
        <w:rPr>
          <w:rFonts w:hint="eastAsia" w:ascii="Times New Roman" w:hAnsi="Times New Roman" w:eastAsia="楷体" w:cs="Times New Roman"/>
          <w:b/>
          <w:bCs/>
          <w:sz w:val="28"/>
          <w:szCs w:val="28"/>
        </w:rPr>
        <w:t>2、成立标准编制组</w:t>
      </w:r>
    </w:p>
    <w:p w14:paraId="0D0BD92D">
      <w:pPr>
        <w:ind w:firstLine="560" w:firstLineChars="200"/>
        <w:jc w:val="both"/>
        <w:rPr>
          <w:rFonts w:eastAsia="楷体"/>
          <w:sz w:val="28"/>
          <w:szCs w:val="28"/>
        </w:rPr>
      </w:pPr>
      <w:r>
        <w:rPr>
          <w:rFonts w:hint="eastAsia" w:eastAsia="楷体"/>
          <w:sz w:val="28"/>
          <w:szCs w:val="28"/>
        </w:rPr>
        <w:t>中国农业科学院农业信息研究所联合中国农业科学院畜牧兽医研究所、北京市畜牧总站、北京六马大好河山农牧科技有限公司、北京大伟嘉生物技术股份有限公司等单位成立了标准编制组，并就标准修订工作任务进行了分解部署。</w:t>
      </w:r>
    </w:p>
    <w:p w14:paraId="363A3747">
      <w:pPr>
        <w:ind w:firstLine="562" w:firstLineChars="200"/>
        <w:jc w:val="both"/>
        <w:rPr>
          <w:rFonts w:eastAsia="楷体"/>
          <w:b/>
          <w:bCs/>
          <w:sz w:val="28"/>
          <w:szCs w:val="28"/>
        </w:rPr>
      </w:pPr>
      <w:r>
        <w:rPr>
          <w:rFonts w:hint="eastAsia" w:eastAsia="楷体"/>
          <w:b/>
          <w:bCs/>
          <w:sz w:val="28"/>
          <w:szCs w:val="28"/>
          <w:lang w:val="en-US" w:eastAsia="zh-CN"/>
        </w:rPr>
        <w:t>3</w:t>
      </w:r>
      <w:r>
        <w:rPr>
          <w:rFonts w:hint="eastAsia" w:eastAsia="楷体"/>
          <w:b/>
          <w:bCs/>
          <w:sz w:val="28"/>
          <w:szCs w:val="28"/>
        </w:rPr>
        <w:t>、资料收集</w:t>
      </w:r>
    </w:p>
    <w:p w14:paraId="4F103173">
      <w:pPr>
        <w:ind w:firstLine="560" w:firstLineChars="200"/>
        <w:jc w:val="both"/>
        <w:rPr>
          <w:rFonts w:eastAsia="楷体"/>
          <w:sz w:val="28"/>
          <w:szCs w:val="28"/>
        </w:rPr>
      </w:pPr>
      <w:r>
        <w:rPr>
          <w:rFonts w:hint="eastAsia" w:eastAsia="楷体"/>
          <w:sz w:val="28"/>
          <w:szCs w:val="28"/>
        </w:rPr>
        <w:t>编制工作组深入收集并研究了国家关于生物安全、智慧畜牧、生猪养殖及数字农业的法律法规与政策文件，确立了以提升养殖场风险防控能力为核心的编制原则。在技术指标确立与标准引用方面，工作组进行了严谨的对标与融合：首先，依据GB/T 44985.4《农业物联网通用技术要求 第4部分：畜禽养殖》确立了系统感知识别、网络传输、平台应用的分层架构与基础性能指标；紧密结合NY/T 4034《规模化猪场生物安全风险评估规范》，梳理出人员进出、车辆洗消、物资流转及无害化处理等生物安全关键控制点，奠定了系统的业务逻辑基础。其次，在信息传输与数据安全方面，参照GB/T 28181 规范了视频流的传输与控制协议，引入GB/T 22239《信息安全技术 网络安全等级保护基本要求》及NY/T 4261《农业大数据安全管理指南》，明确了系统需满足二级等保要求及数据审计规范，确保监控数据的完整性与安全性。再次，针对硬件设备与现场环境的适配性，引用GB/T 17824.3作为环境参数监测依据；充分考虑到养殖场高湿、腐蚀的特殊环境，参考GB/T4208规定了核心区域设备不低于IP66 的防护等级。最后，为确保项目落地的规范性，依据GB/T 28035、GB/T 42584及GB/T 36626 制定了严格的系统验收流程与运维管理规范。通过广泛调研工业级传感器技术参数与规模猪场管理实践，科学设定了双光谱热成像测温误差、采集精度、识别率、实时性等关键指标，为本标准的科学性、适用性及与现有标准体系的协调性提供了坚实支撑。</w:t>
      </w:r>
    </w:p>
    <w:p w14:paraId="762C680E">
      <w:pPr>
        <w:ind w:firstLine="562" w:firstLineChars="200"/>
        <w:jc w:val="both"/>
        <w:rPr>
          <w:bCs/>
        </w:rPr>
      </w:pPr>
      <w:r>
        <w:rPr>
          <w:rFonts w:hint="eastAsia" w:eastAsia="楷体"/>
          <w:b/>
          <w:bCs/>
          <w:sz w:val="28"/>
          <w:szCs w:val="28"/>
          <w:lang w:val="en-US" w:eastAsia="zh-CN"/>
        </w:rPr>
        <w:t>4</w:t>
      </w:r>
      <w:r>
        <w:rPr>
          <w:rFonts w:hint="eastAsia" w:eastAsia="楷体"/>
          <w:b/>
          <w:bCs/>
          <w:sz w:val="28"/>
          <w:szCs w:val="28"/>
        </w:rPr>
        <w:t>、广泛调研分析</w:t>
      </w:r>
    </w:p>
    <w:p w14:paraId="4782A769">
      <w:pPr>
        <w:ind w:firstLine="560" w:firstLineChars="200"/>
        <w:jc w:val="both"/>
        <w:rPr>
          <w:rFonts w:eastAsia="楷体"/>
          <w:sz w:val="28"/>
          <w:szCs w:val="28"/>
        </w:rPr>
      </w:pPr>
      <w:r>
        <w:rPr>
          <w:rFonts w:hint="eastAsia" w:eastAsia="楷体"/>
          <w:sz w:val="28"/>
          <w:szCs w:val="28"/>
        </w:rPr>
        <w:t>为确保标准技术内容的科学性与前瞻性，编制工作组制定了详尽的调研计划，围绕“生物安全管理流程数字化”与“智能感知技术适配性”两大核心主题，深入产业链各环节开展了系统性调研。</w:t>
      </w:r>
    </w:p>
    <w:p w14:paraId="7A5D3165">
      <w:pPr>
        <w:ind w:firstLine="560" w:firstLineChars="200"/>
        <w:jc w:val="both"/>
        <w:rPr>
          <w:rFonts w:eastAsia="楷体"/>
          <w:sz w:val="28"/>
          <w:szCs w:val="28"/>
        </w:rPr>
      </w:pPr>
      <w:r>
        <w:rPr>
          <w:rFonts w:hint="eastAsia" w:eastAsia="楷体"/>
          <w:sz w:val="28"/>
          <w:szCs w:val="28"/>
        </w:rPr>
        <w:t>在应用场景与业务需求方面，工作组实地走访了武汉金龙猪场、湖北正大猪场、辽宁阳光猪场、北京六马大好河山、北京大伟嘉及黑六牧业等代表性养殖企业。针对生猪养殖场特有的高湿、高氨气、多粉尘环境，重点调研了监控设备的腐蚀损坏情况与运维难题，验证了标准中关于感知设备IP66防护等级及防腐蚀外壳要求的必要性；同时，深入分析了人员进出淋浴、车辆洗消烘干、物资传递等高风险环节的实际作业流程，识别出传统人工监管存在的“洗消时间不达标”、“违规串舍”等监管盲区，为本标准中建立进出场流程闭环管理与门禁联动逻辑提供了坚实的实践依据。</w:t>
      </w:r>
    </w:p>
    <w:p w14:paraId="643CF01E">
      <w:pPr>
        <w:ind w:firstLine="560" w:firstLineChars="200"/>
        <w:jc w:val="both"/>
        <w:rPr>
          <w:rFonts w:eastAsia="楷体"/>
          <w:sz w:val="28"/>
          <w:szCs w:val="28"/>
        </w:rPr>
      </w:pPr>
      <w:r>
        <w:rPr>
          <w:rFonts w:hint="eastAsia" w:eastAsia="楷体"/>
          <w:sz w:val="28"/>
          <w:szCs w:val="28"/>
        </w:rPr>
        <w:t>在顶层设计与管理规范方面，工作组赴正大集团总部及北京正大研究院进行了深度研讨。结合大型农牧集团成熟的生物安全SOP体系，双方就如何将管理制度转化为信息化系统的逻辑规则进行了论证，明确了将“外围防线、人员/车辆卫生控制区、生产单元”确立为关键控制点的布设原则，并探讨了通过信息化手段实现“单向流动”管控的技术路径，奠定了标准系统架构的基础。</w:t>
      </w:r>
    </w:p>
    <w:p w14:paraId="624BA110">
      <w:pPr>
        <w:ind w:firstLine="560" w:firstLineChars="200"/>
        <w:jc w:val="both"/>
        <w:rPr>
          <w:rFonts w:eastAsia="楷体"/>
          <w:sz w:val="28"/>
          <w:szCs w:val="28"/>
        </w:rPr>
      </w:pPr>
      <w:r>
        <w:rPr>
          <w:rFonts w:hint="eastAsia" w:eastAsia="楷体"/>
          <w:sz w:val="28"/>
          <w:szCs w:val="28"/>
        </w:rPr>
        <w:t>在关键技术实现与性能指标方面，工作组调研了浙江华牧、中农智联、河南牧原、杭州萤石网络、阿里云等技术领军企业。重点对热成像测温技术在猪群巡检中的精度、AI智能分析算法（如车牌识别、未正确穿戴防护服等）在养殖场景下的成熟度以及H.265视频编码在弱网环境下的传输性能进行了技术验核。</w:t>
      </w:r>
    </w:p>
    <w:p w14:paraId="20A0C615">
      <w:pPr>
        <w:ind w:firstLine="560" w:firstLineChars="200"/>
        <w:jc w:val="both"/>
        <w:rPr>
          <w:rFonts w:eastAsia="楷体"/>
          <w:sz w:val="28"/>
          <w:szCs w:val="28"/>
        </w:rPr>
      </w:pPr>
      <w:r>
        <w:rPr>
          <w:rFonts w:hint="eastAsia" w:eastAsia="楷体"/>
          <w:sz w:val="28"/>
          <w:szCs w:val="28"/>
        </w:rPr>
        <w:t>通过系统的资料收集与深入调研，工作组全面掌握了行业现状与技术底数，验证了关键指标的可行性。这些扎实的前期工作明确了系统建设的核心需求，为本标准的科学编制、技术先进性及落地实施奠定了坚实基础。</w:t>
      </w:r>
    </w:p>
    <w:p w14:paraId="16939D10">
      <w:pPr>
        <w:ind w:firstLine="562" w:firstLineChars="200"/>
        <w:jc w:val="both"/>
        <w:rPr>
          <w:rFonts w:eastAsia="楷体"/>
          <w:b/>
          <w:bCs/>
          <w:sz w:val="28"/>
          <w:szCs w:val="28"/>
        </w:rPr>
      </w:pPr>
      <w:r>
        <w:rPr>
          <w:rFonts w:hint="eastAsia" w:eastAsia="楷体"/>
          <w:b/>
          <w:bCs/>
          <w:sz w:val="28"/>
          <w:szCs w:val="28"/>
          <w:lang w:val="en-US" w:eastAsia="zh-CN"/>
        </w:rPr>
        <w:t>5</w:t>
      </w:r>
      <w:r>
        <w:rPr>
          <w:rFonts w:hint="eastAsia" w:eastAsia="楷体"/>
          <w:b/>
          <w:bCs/>
          <w:sz w:val="28"/>
          <w:szCs w:val="28"/>
        </w:rPr>
        <w:t>、拟定标准初稿</w:t>
      </w:r>
    </w:p>
    <w:p w14:paraId="289028EB">
      <w:pPr>
        <w:ind w:firstLine="560" w:firstLineChars="200"/>
        <w:jc w:val="both"/>
        <w:rPr>
          <w:rFonts w:eastAsia="楷体"/>
          <w:sz w:val="28"/>
          <w:szCs w:val="28"/>
        </w:rPr>
      </w:pPr>
      <w:r>
        <w:rPr>
          <w:rFonts w:eastAsia="楷体"/>
          <w:sz w:val="28"/>
          <w:szCs w:val="28"/>
        </w:rPr>
        <w:t>在完成前期资料收集与深入调研后，编制工作组于20</w:t>
      </w:r>
      <w:r>
        <w:rPr>
          <w:rFonts w:hint="eastAsia" w:eastAsia="楷体"/>
          <w:sz w:val="28"/>
          <w:szCs w:val="28"/>
        </w:rPr>
        <w:t>24</w:t>
      </w:r>
      <w:r>
        <w:rPr>
          <w:rFonts w:eastAsia="楷体"/>
          <w:sz w:val="28"/>
          <w:szCs w:val="28"/>
        </w:rPr>
        <w:t>年</w:t>
      </w:r>
      <w:r>
        <w:rPr>
          <w:rFonts w:hint="eastAsia" w:eastAsia="楷体"/>
          <w:sz w:val="28"/>
          <w:szCs w:val="28"/>
        </w:rPr>
        <w:t>1</w:t>
      </w:r>
      <w:r>
        <w:rPr>
          <w:rFonts w:eastAsia="楷体"/>
          <w:sz w:val="28"/>
          <w:szCs w:val="28"/>
        </w:rPr>
        <w:t>月正式启动标准起草工作，严格按照GB/T 1.1—2020《标准化工作导则》的要求构建标准框架。工作组结合调研中发现的实际需求与痛点，多次召开内部编写会议，确立了系统的总体架构与核心章节，对硬件配置、业务功能、性能指标及验收规范等模块进行了系统性梳理与撰写，经反复推敲、修改与润色，最终形成了标准初稿。</w:t>
      </w:r>
    </w:p>
    <w:p w14:paraId="77FA0227">
      <w:pPr>
        <w:ind w:firstLine="562" w:firstLineChars="200"/>
        <w:jc w:val="both"/>
        <w:rPr>
          <w:rFonts w:eastAsia="楷体"/>
          <w:b/>
          <w:bCs/>
          <w:sz w:val="28"/>
          <w:szCs w:val="28"/>
        </w:rPr>
      </w:pPr>
      <w:r>
        <w:rPr>
          <w:rFonts w:hint="eastAsia" w:eastAsia="楷体"/>
          <w:b/>
          <w:bCs/>
          <w:sz w:val="28"/>
          <w:szCs w:val="28"/>
          <w:lang w:val="en-US" w:eastAsia="zh-CN"/>
        </w:rPr>
        <w:t>6</w:t>
      </w:r>
      <w:r>
        <w:rPr>
          <w:rFonts w:hint="eastAsia" w:eastAsia="楷体"/>
          <w:b/>
          <w:bCs/>
          <w:sz w:val="28"/>
          <w:szCs w:val="28"/>
        </w:rPr>
        <w:t>、专家意见征集</w:t>
      </w:r>
    </w:p>
    <w:p w14:paraId="31341A40">
      <w:pPr>
        <w:ind w:firstLine="560" w:firstLineChars="200"/>
        <w:jc w:val="both"/>
        <w:rPr>
          <w:rFonts w:eastAsia="楷体"/>
          <w:sz w:val="28"/>
          <w:szCs w:val="28"/>
        </w:rPr>
      </w:pPr>
      <w:r>
        <w:rPr>
          <w:rFonts w:eastAsia="楷体"/>
          <w:sz w:val="28"/>
          <w:szCs w:val="28"/>
        </w:rPr>
        <w:t>为确保标准的科学性与实用性，工作组于20</w:t>
      </w:r>
      <w:r>
        <w:rPr>
          <w:rFonts w:hint="eastAsia" w:eastAsia="楷体"/>
          <w:sz w:val="28"/>
          <w:szCs w:val="28"/>
        </w:rPr>
        <w:t>25</w:t>
      </w:r>
      <w:r>
        <w:rPr>
          <w:rFonts w:eastAsia="楷体"/>
          <w:sz w:val="28"/>
          <w:szCs w:val="28"/>
        </w:rPr>
        <w:t>年</w:t>
      </w:r>
      <w:r>
        <w:rPr>
          <w:rFonts w:hint="eastAsia" w:eastAsia="楷体"/>
          <w:sz w:val="28"/>
          <w:szCs w:val="28"/>
        </w:rPr>
        <w:t>7</w:t>
      </w:r>
      <w:r>
        <w:rPr>
          <w:rFonts w:eastAsia="楷体"/>
          <w:sz w:val="28"/>
          <w:szCs w:val="28"/>
        </w:rPr>
        <w:t>月</w:t>
      </w:r>
      <w:r>
        <w:rPr>
          <w:rFonts w:hint="eastAsia" w:eastAsia="楷体"/>
          <w:sz w:val="28"/>
          <w:szCs w:val="28"/>
        </w:rPr>
        <w:t>通过邮件形式</w:t>
      </w:r>
      <w:r>
        <w:rPr>
          <w:rFonts w:eastAsia="楷体"/>
          <w:sz w:val="28"/>
          <w:szCs w:val="28"/>
        </w:rPr>
        <w:t>定向征求意见，广泛邀请了相关科研院校的行业专家，以及大型生猪养殖企业与信息化技术公司的技术负责人参与审阅。</w:t>
      </w:r>
      <w:r>
        <w:rPr>
          <w:rFonts w:hint="eastAsia" w:eastAsia="楷体"/>
          <w:sz w:val="28"/>
          <w:szCs w:val="28"/>
        </w:rPr>
        <w:t>领域内</w:t>
      </w:r>
      <w:r>
        <w:rPr>
          <w:rFonts w:eastAsia="楷体"/>
          <w:sz w:val="28"/>
          <w:szCs w:val="28"/>
        </w:rPr>
        <w:t>专家结合行业发展现状与养殖场实际应用场景，重点对标准初稿中术语定义的准确性、架构设计的合理性、关键指标的可行性以及条款的严谨性等方面进行了全面评估，并提出了多项具有建设性的修改建议，共收集</w:t>
      </w:r>
      <w:r>
        <w:rPr>
          <w:rFonts w:hint="eastAsia" w:eastAsia="楷体"/>
          <w:sz w:val="28"/>
          <w:szCs w:val="28"/>
        </w:rPr>
        <w:t>28名专家</w:t>
      </w:r>
      <w:r>
        <w:rPr>
          <w:rFonts w:eastAsia="楷体"/>
          <w:sz w:val="28"/>
          <w:szCs w:val="28"/>
        </w:rPr>
        <w:t>各类意见</w:t>
      </w:r>
      <w:r>
        <w:rPr>
          <w:rFonts w:hint="eastAsia" w:eastAsia="楷体"/>
          <w:sz w:val="28"/>
          <w:szCs w:val="28"/>
        </w:rPr>
        <w:t>212</w:t>
      </w:r>
      <w:r>
        <w:rPr>
          <w:rFonts w:eastAsia="楷体"/>
          <w:sz w:val="28"/>
          <w:szCs w:val="28"/>
        </w:rPr>
        <w:t>条。</w:t>
      </w:r>
    </w:p>
    <w:p w14:paraId="514C8139">
      <w:pPr>
        <w:ind w:firstLine="562" w:firstLineChars="200"/>
        <w:jc w:val="both"/>
        <w:rPr>
          <w:rFonts w:eastAsia="楷体"/>
          <w:b/>
          <w:bCs/>
          <w:sz w:val="28"/>
          <w:szCs w:val="28"/>
        </w:rPr>
      </w:pPr>
      <w:r>
        <w:rPr>
          <w:rFonts w:hint="eastAsia" w:eastAsia="楷体"/>
          <w:b/>
          <w:bCs/>
          <w:sz w:val="28"/>
          <w:szCs w:val="28"/>
          <w:lang w:val="en-US" w:eastAsia="zh-CN"/>
        </w:rPr>
        <w:t>7</w:t>
      </w:r>
      <w:r>
        <w:rPr>
          <w:rFonts w:hint="eastAsia" w:eastAsia="楷体"/>
          <w:b/>
          <w:bCs/>
          <w:sz w:val="28"/>
          <w:szCs w:val="28"/>
        </w:rPr>
        <w:t>、处理专家意见</w:t>
      </w:r>
    </w:p>
    <w:p w14:paraId="4B020A8E">
      <w:pPr>
        <w:ind w:firstLine="560" w:firstLineChars="200"/>
        <w:jc w:val="both"/>
        <w:rPr>
          <w:rFonts w:eastAsia="楷体"/>
          <w:sz w:val="28"/>
          <w:szCs w:val="28"/>
        </w:rPr>
      </w:pPr>
      <w:r>
        <w:rPr>
          <w:rFonts w:eastAsia="楷体"/>
          <w:sz w:val="28"/>
          <w:szCs w:val="28"/>
        </w:rPr>
        <w:t>工作组对征集到的专家意见进行了逐条梳理与深入研讨，秉持科学严谨的原则，重点采纳了涉及增强系统稳定性、提升环境适应性及规范数据安全等方面的建议，对标准文本进行了针对性的补充与完善。对于部分未采纳意见，工作组也与提出建议的专家进行了充分沟通并说明理由，最终在达成共识的基础上完成了对初稿的修订，形成了内容更加完善、逻辑更加严密的《征求意见稿》。</w:t>
      </w:r>
    </w:p>
    <w:p w14:paraId="2B58B628">
      <w:pPr>
        <w:pStyle w:val="2"/>
        <w:numPr>
          <w:ilvl w:val="0"/>
          <w:numId w:val="1"/>
        </w:numPr>
        <w:ind w:firstLine="562"/>
        <w:rPr>
          <w:rFonts w:ascii="Times New Roman" w:hAnsi="Times New Roman"/>
        </w:rPr>
      </w:pPr>
      <w:bookmarkStart w:id="10" w:name="_Toc179624678"/>
      <w:r>
        <w:rPr>
          <w:rFonts w:hint="eastAsia" w:ascii="Times New Roman" w:hAnsi="Times New Roman"/>
        </w:rPr>
        <w:t>标准编制原则、主要技术内容及编制依据</w:t>
      </w:r>
      <w:bookmarkEnd w:id="10"/>
    </w:p>
    <w:p w14:paraId="08003D56">
      <w:pPr>
        <w:pStyle w:val="3"/>
        <w:ind w:left="0" w:firstLine="420"/>
        <w:rPr>
          <w:rFonts w:ascii="Times New Roman" w:hAnsi="Times New Roman"/>
          <w:bCs/>
        </w:rPr>
      </w:pPr>
      <w:bookmarkStart w:id="11" w:name="_Toc179624679"/>
      <w:r>
        <w:rPr>
          <w:rFonts w:ascii="Times New Roman" w:hAnsi="Times New Roman"/>
          <w:bCs/>
        </w:rPr>
        <w:t>（</w:t>
      </w:r>
      <w:r>
        <w:rPr>
          <w:rFonts w:hint="eastAsia" w:ascii="Times New Roman" w:hAnsi="Times New Roman"/>
          <w:bCs/>
        </w:rPr>
        <w:t>一</w:t>
      </w:r>
      <w:r>
        <w:rPr>
          <w:rFonts w:ascii="Times New Roman" w:hAnsi="Times New Roman"/>
          <w:bCs/>
        </w:rPr>
        <w:t>）</w:t>
      </w:r>
      <w:r>
        <w:rPr>
          <w:rFonts w:hint="eastAsia" w:ascii="Times New Roman" w:hAnsi="Times New Roman"/>
          <w:bCs/>
        </w:rPr>
        <w:t>编制原则</w:t>
      </w:r>
      <w:bookmarkEnd w:id="11"/>
    </w:p>
    <w:p w14:paraId="271102B7">
      <w:pPr>
        <w:ind w:firstLine="560" w:firstLineChars="200"/>
        <w:jc w:val="both"/>
        <w:rPr>
          <w:rFonts w:eastAsia="楷体" w:cs="宋体"/>
          <w:sz w:val="28"/>
          <w:szCs w:val="28"/>
        </w:rPr>
      </w:pPr>
      <w:r>
        <w:rPr>
          <w:rFonts w:hint="eastAsia" w:eastAsia="楷体"/>
          <w:sz w:val="28"/>
          <w:szCs w:val="28"/>
        </w:rPr>
        <w:t>本标准按照GB/T 1.1</w:t>
      </w:r>
      <w:r>
        <w:rPr>
          <w:rFonts w:eastAsia="楷体"/>
          <w:color w:val="323232"/>
          <w:sz w:val="28"/>
          <w:szCs w:val="28"/>
          <w:shd w:val="clear" w:color="auto" w:fill="FFFFFF"/>
        </w:rPr>
        <w:t>—2020《标准化工作导则 第 1 部分：标</w:t>
      </w:r>
      <w:r>
        <w:rPr>
          <w:rFonts w:eastAsia="楷体" w:cs="宋体"/>
          <w:bCs/>
          <w:sz w:val="28"/>
          <w:szCs w:val="28"/>
          <w:lang w:bidi="ar"/>
        </w:rPr>
        <w:t>准化文件的结构和起草规则》的规定起草</w:t>
      </w:r>
      <w:r>
        <w:rPr>
          <w:rFonts w:hint="eastAsia" w:eastAsia="楷体" w:cs="宋体"/>
          <w:bCs/>
          <w:sz w:val="28"/>
          <w:szCs w:val="28"/>
          <w:lang w:bidi="ar"/>
        </w:rPr>
        <w:t>。坚持“面向市场、服务产业、自主制定、适时推出、及时修订、不断完善”的原则以及“产业发展、市场需求、重点突出、成套成体系”等立项原则，</w:t>
      </w:r>
      <w:r>
        <w:rPr>
          <w:rFonts w:eastAsia="楷体" w:cs="宋体"/>
          <w:sz w:val="28"/>
          <w:szCs w:val="28"/>
        </w:rPr>
        <w:t>保证标准</w:t>
      </w:r>
      <w:r>
        <w:rPr>
          <w:rFonts w:hint="eastAsia" w:eastAsia="楷体" w:cs="宋体"/>
          <w:sz w:val="28"/>
          <w:szCs w:val="28"/>
        </w:rPr>
        <w:t>的科学性、完整性、明确性、可行性与可操作性。</w:t>
      </w:r>
    </w:p>
    <w:p w14:paraId="7B58C3F8">
      <w:pPr>
        <w:pStyle w:val="3"/>
        <w:ind w:left="0" w:firstLine="420"/>
        <w:rPr>
          <w:rFonts w:ascii="Times New Roman" w:hAnsi="Times New Roman"/>
        </w:rPr>
      </w:pPr>
      <w:bookmarkStart w:id="12" w:name="_Toc179624680"/>
      <w:r>
        <w:rPr>
          <w:rFonts w:ascii="Times New Roman" w:hAnsi="Times New Roman"/>
          <w:bCs/>
        </w:rPr>
        <w:t>（</w:t>
      </w:r>
      <w:r>
        <w:rPr>
          <w:rFonts w:hint="eastAsia" w:ascii="Times New Roman" w:hAnsi="Times New Roman"/>
          <w:bCs/>
        </w:rPr>
        <w:t>二</w:t>
      </w:r>
      <w:r>
        <w:rPr>
          <w:rFonts w:ascii="Times New Roman" w:hAnsi="Times New Roman"/>
          <w:bCs/>
        </w:rPr>
        <w:t>）编制依据</w:t>
      </w:r>
      <w:bookmarkEnd w:id="12"/>
    </w:p>
    <w:p w14:paraId="1762FDED">
      <w:pPr>
        <w:ind w:firstLine="562" w:firstLineChars="200"/>
        <w:rPr>
          <w:rFonts w:eastAsia="楷体"/>
          <w:b/>
          <w:sz w:val="28"/>
          <w:szCs w:val="28"/>
        </w:rPr>
      </w:pPr>
      <w:r>
        <w:rPr>
          <w:rFonts w:eastAsia="楷体"/>
          <w:b/>
          <w:sz w:val="28"/>
          <w:szCs w:val="28"/>
        </w:rPr>
        <w:t>1.相关法律、法规和政策依据</w:t>
      </w:r>
    </w:p>
    <w:p w14:paraId="4BB43840">
      <w:pPr>
        <w:ind w:firstLine="560" w:firstLineChars="200"/>
        <w:jc w:val="both"/>
        <w:rPr>
          <w:rFonts w:eastAsia="楷体"/>
          <w:sz w:val="28"/>
          <w:szCs w:val="28"/>
        </w:rPr>
      </w:pPr>
      <w:r>
        <w:rPr>
          <w:rFonts w:eastAsia="楷体"/>
          <w:sz w:val="28"/>
          <w:szCs w:val="28"/>
        </w:rPr>
        <w:t>本标准主要</w:t>
      </w:r>
      <w:r>
        <w:rPr>
          <w:rFonts w:eastAsia="楷体" w:cs="宋体"/>
          <w:sz w:val="28"/>
          <w:szCs w:val="28"/>
        </w:rPr>
        <w:t>立足</w:t>
      </w:r>
      <w:r>
        <w:rPr>
          <w:rFonts w:eastAsia="楷体"/>
          <w:sz w:val="28"/>
          <w:szCs w:val="28"/>
        </w:rPr>
        <w:t>于我国与</w:t>
      </w:r>
      <w:r>
        <w:rPr>
          <w:rFonts w:hint="eastAsia" w:eastAsia="楷体"/>
          <w:sz w:val="28"/>
          <w:szCs w:val="28"/>
        </w:rPr>
        <w:t>生猪养殖生物安全防控和畜牧信息</w:t>
      </w:r>
      <w:r>
        <w:rPr>
          <w:rFonts w:eastAsia="楷体"/>
          <w:sz w:val="28"/>
          <w:szCs w:val="28"/>
        </w:rPr>
        <w:t>相关的法律</w:t>
      </w:r>
      <w:r>
        <w:rPr>
          <w:rFonts w:eastAsia="楷体" w:cs="宋体"/>
          <w:sz w:val="28"/>
          <w:szCs w:val="28"/>
        </w:rPr>
        <w:t>法规</w:t>
      </w:r>
      <w:r>
        <w:rPr>
          <w:rFonts w:eastAsia="楷体"/>
          <w:sz w:val="28"/>
          <w:szCs w:val="28"/>
        </w:rPr>
        <w:t>和行业政策规定的要求，在学习并遵守这些要求的基础上，将这些要求作为编制《</w:t>
      </w:r>
      <w:r>
        <w:rPr>
          <w:rFonts w:hint="eastAsia" w:eastAsia="楷体" w:cs="宋体"/>
          <w:bCs/>
          <w:color w:val="000000"/>
          <w:sz w:val="28"/>
          <w:szCs w:val="28"/>
          <w:lang w:bidi="ar"/>
        </w:rPr>
        <w:t>生猪养殖生物安全信息化监控技术规范</w:t>
      </w:r>
      <w:r>
        <w:rPr>
          <w:rFonts w:eastAsia="楷体"/>
          <w:sz w:val="28"/>
          <w:szCs w:val="28"/>
        </w:rPr>
        <w:t>》的基本依据。所依据的相关法律法规包括:《中华人民共和国畜牧法》、《</w:t>
      </w:r>
      <w:r>
        <w:rPr>
          <w:rFonts w:hint="eastAsia" w:eastAsia="楷体"/>
          <w:sz w:val="28"/>
          <w:szCs w:val="28"/>
        </w:rPr>
        <w:t>中华人民共和国动物防疫法</w:t>
      </w:r>
      <w:r>
        <w:rPr>
          <w:rFonts w:eastAsia="楷体"/>
          <w:sz w:val="28"/>
          <w:szCs w:val="28"/>
        </w:rPr>
        <w:t>》、《中华人民共和国标准化法》、《中华人民共和国农业法》、《</w:t>
      </w:r>
      <w:r>
        <w:rPr>
          <w:rFonts w:hint="eastAsia" w:eastAsia="楷体"/>
          <w:sz w:val="28"/>
          <w:szCs w:val="28"/>
        </w:rPr>
        <w:t>中华人民共和国生物安全法</w:t>
      </w:r>
      <w:r>
        <w:rPr>
          <w:rFonts w:eastAsia="楷体"/>
          <w:sz w:val="28"/>
          <w:szCs w:val="28"/>
        </w:rPr>
        <w:t>》等。</w:t>
      </w:r>
    </w:p>
    <w:p w14:paraId="5BDED035">
      <w:pPr>
        <w:ind w:firstLine="560" w:firstLineChars="200"/>
        <w:jc w:val="both"/>
        <w:rPr>
          <w:rFonts w:eastAsia="楷体"/>
          <w:sz w:val="28"/>
          <w:szCs w:val="28"/>
        </w:rPr>
      </w:pPr>
      <w:r>
        <w:rPr>
          <w:rFonts w:eastAsia="楷体"/>
          <w:sz w:val="28"/>
          <w:szCs w:val="28"/>
        </w:rPr>
        <w:t>依据的相关政策文件主要包括</w:t>
      </w:r>
      <w:r>
        <w:rPr>
          <w:rFonts w:hint="eastAsia" w:eastAsia="楷体"/>
          <w:sz w:val="28"/>
          <w:szCs w:val="28"/>
        </w:rPr>
        <w:t>：</w:t>
      </w:r>
      <w:r>
        <w:rPr>
          <w:rFonts w:eastAsia="楷体"/>
          <w:sz w:val="28"/>
          <w:szCs w:val="28"/>
        </w:rPr>
        <w:t>农业农村部联合国家发展改革委、财政部、</w:t>
      </w:r>
      <w:r>
        <w:rPr>
          <w:rFonts w:eastAsia="楷体" w:cs="宋体"/>
          <w:sz w:val="28"/>
          <w:szCs w:val="28"/>
        </w:rPr>
        <w:t>自然资源</w:t>
      </w:r>
      <w:r>
        <w:rPr>
          <w:rFonts w:eastAsia="楷体"/>
          <w:sz w:val="28"/>
          <w:szCs w:val="28"/>
        </w:rPr>
        <w:t>部制定印发《全国现代设施农业建设规划（</w:t>
      </w:r>
      <w:r>
        <w:rPr>
          <w:rFonts w:eastAsia="楷体"/>
          <w:bCs/>
          <w:sz w:val="28"/>
          <w:szCs w:val="28"/>
          <w:lang w:bidi="ar"/>
        </w:rPr>
        <w:t>2023—2030</w:t>
      </w:r>
      <w:r>
        <w:rPr>
          <w:rFonts w:eastAsia="楷体"/>
          <w:sz w:val="28"/>
          <w:szCs w:val="28"/>
        </w:rPr>
        <w:t>年）》、《数字乡村标准体系建设指南》</w:t>
      </w:r>
      <w:r>
        <w:rPr>
          <w:rFonts w:hint="eastAsia" w:eastAsia="楷体"/>
          <w:sz w:val="28"/>
          <w:szCs w:val="28"/>
        </w:rPr>
        <w:t>（</w:t>
      </w:r>
      <w:r>
        <w:rPr>
          <w:rFonts w:eastAsia="楷体"/>
          <w:bCs/>
          <w:sz w:val="28"/>
          <w:szCs w:val="28"/>
          <w:lang w:bidi="ar"/>
        </w:rPr>
        <w:t>2022</w:t>
      </w:r>
      <w:r>
        <w:rPr>
          <w:rFonts w:hint="eastAsia" w:eastAsia="楷体"/>
          <w:sz w:val="28"/>
          <w:szCs w:val="28"/>
        </w:rPr>
        <w:t>）</w:t>
      </w:r>
      <w:r>
        <w:rPr>
          <w:rFonts w:eastAsia="楷体"/>
          <w:sz w:val="28"/>
          <w:szCs w:val="28"/>
        </w:rPr>
        <w:t>、《乡村振兴战略规划（</w:t>
      </w:r>
      <w:r>
        <w:rPr>
          <w:rFonts w:eastAsia="楷体"/>
          <w:bCs/>
          <w:sz w:val="28"/>
          <w:szCs w:val="28"/>
          <w:lang w:bidi="ar"/>
        </w:rPr>
        <w:t>2018-2022</w:t>
      </w:r>
      <w:r>
        <w:rPr>
          <w:rFonts w:eastAsia="楷体"/>
          <w:sz w:val="28"/>
          <w:szCs w:val="28"/>
        </w:rPr>
        <w:t>年）》、</w:t>
      </w:r>
      <w:r>
        <w:rPr>
          <w:rFonts w:eastAsia="楷体" w:cs="宋体"/>
          <w:sz w:val="28"/>
          <w:szCs w:val="28"/>
        </w:rPr>
        <w:t>《中华人民共和国国民经济和社会发展第十四个五年规划和</w:t>
      </w:r>
      <w:r>
        <w:rPr>
          <w:rFonts w:eastAsia="楷体" w:cs="宋体"/>
          <w:bCs/>
          <w:sz w:val="28"/>
          <w:szCs w:val="28"/>
          <w:lang w:bidi="ar"/>
        </w:rPr>
        <w:t>2035</w:t>
      </w:r>
      <w:r>
        <w:rPr>
          <w:rFonts w:eastAsia="楷体" w:cs="宋体"/>
          <w:sz w:val="28"/>
          <w:szCs w:val="28"/>
        </w:rPr>
        <w:t>年远景目标纲要》</w:t>
      </w:r>
      <w:r>
        <w:rPr>
          <w:rFonts w:eastAsia="楷体"/>
          <w:sz w:val="28"/>
          <w:szCs w:val="28"/>
        </w:rPr>
        <w:t>、《国家标准化体系建设发展规划（</w:t>
      </w:r>
      <w:r>
        <w:rPr>
          <w:rFonts w:eastAsia="楷体"/>
          <w:bCs/>
          <w:sz w:val="28"/>
          <w:szCs w:val="28"/>
          <w:lang w:bidi="ar"/>
        </w:rPr>
        <w:t>2016-2020</w:t>
      </w:r>
      <w:r>
        <w:rPr>
          <w:rFonts w:eastAsia="楷体"/>
          <w:sz w:val="28"/>
          <w:szCs w:val="28"/>
        </w:rPr>
        <w:t>年）》（国办发〔</w:t>
      </w:r>
      <w:r>
        <w:rPr>
          <w:rFonts w:eastAsia="楷体"/>
          <w:bCs/>
          <w:sz w:val="28"/>
          <w:szCs w:val="28"/>
          <w:lang w:bidi="ar"/>
        </w:rPr>
        <w:t>2015〕89</w:t>
      </w:r>
      <w:r>
        <w:rPr>
          <w:rFonts w:eastAsia="楷体"/>
          <w:sz w:val="28"/>
          <w:szCs w:val="28"/>
        </w:rPr>
        <w:t>号）、《</w:t>
      </w:r>
      <w:r>
        <w:rPr>
          <w:rFonts w:hint="eastAsia" w:eastAsia="楷体"/>
          <w:sz w:val="28"/>
          <w:szCs w:val="28"/>
        </w:rPr>
        <w:t>十四五”国家信息化规划（2021-2025年）</w:t>
      </w:r>
      <w:r>
        <w:rPr>
          <w:rFonts w:eastAsia="楷体"/>
          <w:sz w:val="28"/>
          <w:szCs w:val="28"/>
        </w:rPr>
        <w:t>》等。</w:t>
      </w:r>
    </w:p>
    <w:p w14:paraId="0DE65CBF">
      <w:pPr>
        <w:ind w:firstLine="562" w:firstLineChars="200"/>
        <w:rPr>
          <w:rFonts w:eastAsia="楷体"/>
          <w:b/>
          <w:sz w:val="28"/>
          <w:szCs w:val="28"/>
        </w:rPr>
      </w:pPr>
      <w:r>
        <w:rPr>
          <w:rFonts w:eastAsia="楷体"/>
          <w:b/>
          <w:sz w:val="28"/>
          <w:szCs w:val="28"/>
        </w:rPr>
        <w:t>2.相关技术标准依据</w:t>
      </w:r>
    </w:p>
    <w:p w14:paraId="3A9CF705">
      <w:pPr>
        <w:ind w:firstLine="560" w:firstLineChars="200"/>
        <w:jc w:val="both"/>
        <w:rPr>
          <w:rFonts w:eastAsia="楷体"/>
          <w:sz w:val="28"/>
          <w:szCs w:val="28"/>
        </w:rPr>
      </w:pPr>
      <w:r>
        <w:rPr>
          <w:rFonts w:hint="eastAsia" w:eastAsia="楷体"/>
          <w:sz w:val="28"/>
          <w:szCs w:val="28"/>
        </w:rPr>
        <w:t>本标准在编制过程中注重参考规模化养殖生物安全防控、农业物联网信息化系统建设、运行与维护等方面的相关技术标准，主要包括：国家市场监督管理总局发布的国家标准GB/T 44985.4-2019《农业物联网通用技术要求 第4部分：畜禽养殖》、农业农村部发布的行业标准NY/T 4034-2021《规模化猪场生物安全风险评估规范》、国家市场监督管理总局发布的国家标准GB 50348-2018《安全防范工程技术标准》、南京市农业农村局局发布的地方标准</w:t>
      </w:r>
      <w:r>
        <w:rPr>
          <w:rFonts w:eastAsia="楷体"/>
          <w:sz w:val="28"/>
          <w:szCs w:val="28"/>
        </w:rPr>
        <w:t>DB3201/T 1200-2024</w:t>
      </w:r>
      <w:r>
        <w:rPr>
          <w:rFonts w:hint="eastAsia" w:eastAsia="楷体"/>
          <w:sz w:val="28"/>
          <w:szCs w:val="28"/>
        </w:rPr>
        <w:t>《规模猪场非洲猪瘟防控 生物安全管理技术规程》、国家市场监督管理总局发布的国家标准GB/T 28181-2022《公共安全视频监控联网系统信息传输、交换、控制技术要求》、浙江省市场监督管理局发布的地方标准</w:t>
      </w:r>
      <w:r>
        <w:rPr>
          <w:rFonts w:eastAsia="楷体"/>
          <w:sz w:val="28"/>
          <w:szCs w:val="28"/>
        </w:rPr>
        <w:t>DB33/T 2519</w:t>
      </w:r>
      <w:r>
        <w:rPr>
          <w:rFonts w:hint="eastAsia" w:eastAsia="楷体"/>
          <w:sz w:val="28"/>
          <w:szCs w:val="28"/>
        </w:rPr>
        <w:t>-</w:t>
      </w:r>
      <w:r>
        <w:rPr>
          <w:rFonts w:eastAsia="楷体"/>
          <w:sz w:val="28"/>
          <w:szCs w:val="28"/>
        </w:rPr>
        <w:t>2022</w:t>
      </w:r>
      <w:r>
        <w:rPr>
          <w:rFonts w:hint="eastAsia" w:eastAsia="楷体"/>
          <w:sz w:val="28"/>
          <w:szCs w:val="28"/>
        </w:rPr>
        <w:t>《畜禽养殖场数字化建设技术规范》、国家市场监督管理总局发布的国家标准GB/T 17824.3-2008《规模猪场环境参数及环境管理》、农业农村部发布的行业标准NY/T 3216-2018《农业物联网 终端设备数据传输协议》、国家市场监督管理总局发布的国家标准GB/T 4208-2017《外壳防护等级（IP代码）》、国家市场监督管理总局发布的国家标准GB/T 36346-2018《信息技术 面向设施农业应用的传感器网络技术要求》、国家市场监督管理总局发布的国家标准GB/T 22239-2019《信息安全技术 网络安全等级保护基本要求》、国家市场监督管理总局发布的国家标准GB/T 20563-2006《动物射频识别 代码结构》。</w:t>
      </w:r>
    </w:p>
    <w:p w14:paraId="39E7E450">
      <w:pPr>
        <w:tabs>
          <w:tab w:val="left" w:pos="312"/>
        </w:tabs>
        <w:ind w:firstLine="562" w:firstLineChars="200"/>
        <w:rPr>
          <w:rFonts w:eastAsia="楷体"/>
          <w:b/>
          <w:sz w:val="28"/>
          <w:szCs w:val="28"/>
        </w:rPr>
      </w:pPr>
      <w:r>
        <w:rPr>
          <w:rFonts w:hint="eastAsia" w:eastAsia="楷体"/>
          <w:b/>
          <w:sz w:val="28"/>
          <w:szCs w:val="28"/>
          <w:highlight w:val="lightGray"/>
        </w:rPr>
        <w:t>3.</w:t>
      </w:r>
      <w:r>
        <w:rPr>
          <w:rFonts w:eastAsia="楷体"/>
          <w:b/>
          <w:sz w:val="28"/>
          <w:szCs w:val="28"/>
        </w:rPr>
        <w:t>现实需求依据</w:t>
      </w:r>
    </w:p>
    <w:p w14:paraId="0859FD1F">
      <w:pPr>
        <w:ind w:firstLine="560" w:firstLineChars="200"/>
        <w:jc w:val="both"/>
        <w:rPr>
          <w:rFonts w:eastAsia="楷体"/>
          <w:sz w:val="28"/>
          <w:szCs w:val="28"/>
        </w:rPr>
      </w:pPr>
      <w:r>
        <w:rPr>
          <w:rFonts w:hint="eastAsia" w:eastAsia="楷体"/>
          <w:sz w:val="28"/>
          <w:szCs w:val="28"/>
        </w:rPr>
        <w:t>（1）国家政策与生物安全信息化防控的紧迫要求</w:t>
      </w:r>
    </w:p>
    <w:p w14:paraId="0906ED7F">
      <w:pPr>
        <w:ind w:firstLine="560" w:firstLineChars="200"/>
        <w:jc w:val="both"/>
        <w:rPr>
          <w:rFonts w:eastAsia="楷体"/>
          <w:sz w:val="28"/>
          <w:szCs w:val="28"/>
        </w:rPr>
      </w:pPr>
      <w:r>
        <w:rPr>
          <w:rFonts w:hint="eastAsia" w:eastAsia="楷体"/>
          <w:sz w:val="28"/>
          <w:szCs w:val="28"/>
        </w:rPr>
        <w:t>猪肉供应安全是国家粮食安全的重要组成部分，更是关乎国计民生的战略基石。自《中华人民共和国生物安全法》正式实施以来，重大动物疫情的防范已上升至国家安全高度。农业农村部在《“十四五”全国农业农村信息化发展规划》及《关于促进生猪产业持续健康发展的意见》中明确指出，要加快推进畜牧业数字化、智能化转型，利用新一代信息技术提升疫病防控与应急处置能力。</w:t>
      </w:r>
    </w:p>
    <w:p w14:paraId="685DC9CB">
      <w:pPr>
        <w:ind w:firstLine="560" w:firstLineChars="200"/>
        <w:jc w:val="both"/>
        <w:rPr>
          <w:rFonts w:eastAsia="楷体"/>
          <w:sz w:val="28"/>
          <w:szCs w:val="28"/>
        </w:rPr>
      </w:pPr>
      <w:r>
        <w:rPr>
          <w:rFonts w:hint="eastAsia" w:eastAsia="楷体"/>
          <w:sz w:val="28"/>
          <w:szCs w:val="28"/>
        </w:rPr>
        <w:t>当前，我国生猪养殖规模化率虽已突破70%，但非洲猪瘟防控形势依然复杂严峻，病毒变异与点状散发风险并存。传统生物安全管理高度依赖人工执行，存在“百密一疏”的监管盲区与执行偏差，而生物安全漏洞引发的疫情风险始终是造成产能波动与巨额经济损失的首要因素。面对这一现状，利用物联网、人工智能及大数据技术，构建全流程、全天候、可追溯的“技防”监控体系，以替代或辅助传统“人防”，已成为降低防疫成本、阻断病毒传播途径的行业刚需。因此，制定本标准是落实国家智慧农业发展战略，填补生物安全数字化监管空白，保障生猪产业高质量发展的迫切要求。</w:t>
      </w:r>
    </w:p>
    <w:p w14:paraId="7B361018">
      <w:pPr>
        <w:ind w:firstLine="560" w:firstLineChars="200"/>
        <w:jc w:val="both"/>
        <w:rPr>
          <w:rFonts w:eastAsia="楷体"/>
          <w:sz w:val="28"/>
          <w:szCs w:val="28"/>
        </w:rPr>
      </w:pPr>
      <w:r>
        <w:rPr>
          <w:rFonts w:hint="eastAsia" w:eastAsia="楷体"/>
          <w:sz w:val="28"/>
          <w:szCs w:val="28"/>
        </w:rPr>
        <w:t>（2）规模化养殖转型升级的内在需求</w:t>
      </w:r>
    </w:p>
    <w:p w14:paraId="64146519">
      <w:pPr>
        <w:ind w:firstLine="560" w:firstLineChars="200"/>
        <w:jc w:val="both"/>
        <w:rPr>
          <w:rFonts w:eastAsia="楷体"/>
          <w:sz w:val="28"/>
          <w:szCs w:val="28"/>
        </w:rPr>
      </w:pPr>
      <w:r>
        <w:rPr>
          <w:rFonts w:hint="eastAsia" w:eastAsia="楷体"/>
          <w:sz w:val="28"/>
          <w:szCs w:val="28"/>
        </w:rPr>
        <w:t>随着生猪养殖业向规模化、集约化加速转型，场内人员流动、物资流转及生产流程日益复杂，传统管理模式难以有效应对人员洗消不彻底、车辆烘干不达标、违规串舍等隐蔽性生物安全风险。目前，尽管部分养殖场已引入视频监控或环境传感器，但普遍存在“重建设轻应用、设备标准不统一、数据孤岛严重”等问题，难以形成有效的风险预警闭环。特别是养殖场内部高湿、高腐蚀（氨气等）的特殊环境，导致普通安防设备故障率极高，缺乏适配养殖场景的硬件配置标准。迫切需要建立一套贴合生产实际的信息化监控规范，通过技术手段解决监管难题，提升规模化养殖场的抗风险能力。</w:t>
      </w:r>
    </w:p>
    <w:p w14:paraId="7D775E00">
      <w:pPr>
        <w:ind w:firstLine="560" w:firstLineChars="200"/>
        <w:jc w:val="both"/>
        <w:rPr>
          <w:rFonts w:eastAsia="楷体"/>
          <w:sz w:val="28"/>
          <w:szCs w:val="28"/>
        </w:rPr>
      </w:pPr>
      <w:r>
        <w:rPr>
          <w:rFonts w:hint="eastAsia" w:eastAsia="楷体"/>
          <w:sz w:val="28"/>
          <w:szCs w:val="28"/>
        </w:rPr>
        <w:t>（3）填补技术标准空白，规范行业发展的需要</w:t>
      </w:r>
    </w:p>
    <w:p w14:paraId="1CECDE90">
      <w:pPr>
        <w:ind w:firstLine="560" w:firstLineChars="200"/>
        <w:jc w:val="both"/>
        <w:rPr>
          <w:rFonts w:eastAsia="楷体"/>
          <w:sz w:val="28"/>
          <w:szCs w:val="28"/>
        </w:rPr>
      </w:pPr>
      <w:r>
        <w:rPr>
          <w:rFonts w:hint="eastAsia" w:eastAsia="楷体"/>
          <w:sz w:val="28"/>
          <w:szCs w:val="28"/>
        </w:rPr>
        <w:t>当前，市场上针对生猪养殖的生物安全监控产品质量参差不齐，普遍缺乏统一的设计原则、关键控制点布设规范及性能验收指标。这不仅导致养殖企业建设无据可依，增加了试错成本，也造成系统间接口不兼容，限制了行业监管数据的互联互通。制定本标准，旨在通过规范化的技术要求，将生物安全SOP（标准作业程序）固化为可执行、可判别、可追溯的信息化逻辑，实现生物安全管理从“人管”向“技管”的根本性转变。本标准将为行业提供科学、适用、可靠的建设与验收依据，引导市场良性发展，从而有效提升我国生猪养殖产业的生物安全整体防护水平。</w:t>
      </w:r>
    </w:p>
    <w:p w14:paraId="288BA948">
      <w:pPr>
        <w:pStyle w:val="3"/>
        <w:ind w:left="0" w:firstLine="420"/>
        <w:rPr>
          <w:rFonts w:ascii="Times New Roman" w:hAnsi="Times New Roman"/>
          <w:bCs/>
        </w:rPr>
      </w:pPr>
      <w:bookmarkStart w:id="13" w:name="_Toc179624681"/>
      <w:r>
        <w:rPr>
          <w:rFonts w:hint="eastAsia" w:ascii="Times New Roman" w:hAnsi="Times New Roman"/>
          <w:bCs/>
        </w:rPr>
        <w:t>（三）主要技术内容</w:t>
      </w:r>
      <w:bookmarkEnd w:id="13"/>
    </w:p>
    <w:p w14:paraId="10EA022E">
      <w:pPr>
        <w:ind w:firstLine="560" w:firstLineChars="200"/>
        <w:jc w:val="both"/>
        <w:rPr>
          <w:rFonts w:eastAsia="楷体" w:cs="宋体"/>
          <w:sz w:val="28"/>
          <w:szCs w:val="28"/>
        </w:rPr>
      </w:pPr>
      <w:r>
        <w:rPr>
          <w:rFonts w:hint="eastAsia" w:eastAsia="楷体" w:cs="宋体"/>
          <w:sz w:val="28"/>
          <w:szCs w:val="28"/>
        </w:rPr>
        <w:t>标准内容根据专家审查意见对原稿进行了较大幅度的结构调整与内容修订。首先，将标准属性调整为技术指南，即名称变更为《生猪养殖场生物安全信息化监控系统技术规范》；其次，全文由原来的8章调整为9章，其中新增了第9章“系统验收”，以完善标准实施的全流程闭环。同时，将原标准中关于监测节点、软硬件功能等内容重新整合为“总体要求”、“硬件配置要求”、“业务功能要求”及“平台功能要求”等章节，技术逻辑更加清晰。修改后的主要内容如下：</w:t>
      </w:r>
    </w:p>
    <w:p w14:paraId="64733C09">
      <w:pPr>
        <w:ind w:firstLine="560" w:firstLineChars="200"/>
        <w:jc w:val="both"/>
        <w:rPr>
          <w:rFonts w:eastAsia="楷体"/>
          <w:bCs/>
          <w:color w:val="000000"/>
          <w:sz w:val="28"/>
          <w:szCs w:val="28"/>
        </w:rPr>
      </w:pPr>
      <w:r>
        <w:rPr>
          <w:rFonts w:eastAsia="楷体" w:cs="宋体"/>
          <w:bCs/>
          <w:color w:val="000000"/>
          <w:sz w:val="28"/>
          <w:szCs w:val="28"/>
          <w:lang w:bidi="ar"/>
        </w:rPr>
        <w:t>1.</w:t>
      </w:r>
      <w:r>
        <w:rPr>
          <w:rFonts w:hint="eastAsia" w:eastAsia="楷体" w:cs="宋体"/>
          <w:bCs/>
          <w:color w:val="000000"/>
          <w:sz w:val="28"/>
          <w:szCs w:val="28"/>
          <w:lang w:bidi="ar"/>
        </w:rPr>
        <w:t>范围</w:t>
      </w:r>
      <w:r>
        <w:rPr>
          <w:rFonts w:eastAsia="楷体" w:cs="宋体"/>
          <w:bCs/>
          <w:color w:val="000000"/>
          <w:sz w:val="28"/>
          <w:szCs w:val="28"/>
          <w:lang w:bidi="ar"/>
        </w:rPr>
        <w:t>。</w:t>
      </w:r>
      <w:r>
        <w:rPr>
          <w:rFonts w:hint="eastAsia" w:eastAsia="楷体" w:cs="宋体"/>
          <w:bCs/>
          <w:color w:val="000000"/>
          <w:sz w:val="28"/>
          <w:szCs w:val="28"/>
          <w:lang w:bidi="ar"/>
        </w:rPr>
        <w:t>本文件规定了生猪养殖场生物安全信息化监控系统的总体要求、硬件配置要求、业务功能要求、平台功能要求以及性能与可靠性要求。本文件适用于生猪养殖场生物安全信息化监控的设计、建设、验收与运行维护。</w:t>
      </w:r>
    </w:p>
    <w:p w14:paraId="33D31E48">
      <w:pPr>
        <w:ind w:firstLine="560" w:firstLineChars="200"/>
        <w:jc w:val="both"/>
        <w:rPr>
          <w:rFonts w:eastAsia="楷体"/>
          <w:color w:val="000000"/>
          <w:sz w:val="28"/>
          <w:szCs w:val="28"/>
          <w:lang w:bidi="ar"/>
        </w:rPr>
      </w:pPr>
      <w:r>
        <w:rPr>
          <w:rFonts w:eastAsia="楷体" w:cs="宋体"/>
          <w:color w:val="000000"/>
          <w:sz w:val="28"/>
          <w:szCs w:val="28"/>
          <w:lang w:bidi="ar"/>
        </w:rPr>
        <w:t>2.</w:t>
      </w:r>
      <w:r>
        <w:rPr>
          <w:rFonts w:hint="eastAsia" w:eastAsia="楷体" w:cs="宋体"/>
          <w:color w:val="000000"/>
          <w:sz w:val="28"/>
          <w:szCs w:val="28"/>
          <w:lang w:bidi="ar"/>
        </w:rPr>
        <w:t>规范性引用</w:t>
      </w:r>
      <w:r>
        <w:rPr>
          <w:rFonts w:hint="eastAsia" w:eastAsia="楷体" w:cs="宋体"/>
          <w:sz w:val="28"/>
          <w:szCs w:val="28"/>
        </w:rPr>
        <w:t>文件</w:t>
      </w:r>
      <w:r>
        <w:rPr>
          <w:rFonts w:eastAsia="楷体" w:cs="宋体"/>
          <w:color w:val="000000"/>
          <w:sz w:val="28"/>
          <w:szCs w:val="28"/>
          <w:lang w:bidi="ar"/>
        </w:rPr>
        <w:t>。</w:t>
      </w:r>
      <w:r>
        <w:rPr>
          <w:rFonts w:hint="eastAsia" w:eastAsia="楷体" w:cs="宋体"/>
          <w:color w:val="000000"/>
          <w:sz w:val="28"/>
          <w:szCs w:val="28"/>
          <w:lang w:bidi="ar"/>
        </w:rPr>
        <w:t>本文件主要引用了《规模猪场环境参数及环境管理》（GB/T 17824.3）、《信息安全技术 网络安全等级保护基本要求》（GB/T 22239）、《公共安全视频监控联网系统信息传输、交换、控制技术要求》（GB/T 28181）、《农业物联网通用技术要求 第4部分：畜禽养殖》（GB/T 44985.4）、《规模化猪场生物安全风险评估规范》（NY/T 4034）以及《农业大数据安全管理指南》（NY/T 4261-2022）等相关国家及行业标准，确保系统建设的规范性与兼容性。</w:t>
      </w:r>
    </w:p>
    <w:p w14:paraId="453D710B">
      <w:pPr>
        <w:ind w:firstLine="560" w:firstLineChars="200"/>
        <w:jc w:val="both"/>
        <w:rPr>
          <w:rFonts w:eastAsia="楷体"/>
          <w:color w:val="000000"/>
          <w:sz w:val="28"/>
          <w:szCs w:val="28"/>
          <w:lang w:bidi="ar"/>
        </w:rPr>
      </w:pPr>
      <w:r>
        <w:rPr>
          <w:rFonts w:eastAsia="楷体" w:cs="宋体"/>
          <w:color w:val="000000"/>
          <w:sz w:val="28"/>
          <w:szCs w:val="28"/>
          <w:lang w:bidi="ar"/>
        </w:rPr>
        <w:t>3.</w:t>
      </w:r>
      <w:r>
        <w:rPr>
          <w:rFonts w:hint="eastAsia" w:eastAsia="楷体" w:cs="宋体"/>
          <w:color w:val="000000"/>
          <w:sz w:val="28"/>
          <w:szCs w:val="28"/>
          <w:lang w:bidi="ar"/>
        </w:rPr>
        <w:t>术语和定义</w:t>
      </w:r>
      <w:r>
        <w:rPr>
          <w:rFonts w:eastAsia="楷体" w:cs="宋体"/>
          <w:color w:val="000000"/>
          <w:sz w:val="28"/>
          <w:szCs w:val="28"/>
          <w:lang w:bidi="ar"/>
        </w:rPr>
        <w:t>。</w:t>
      </w:r>
      <w:r>
        <w:rPr>
          <w:rFonts w:hint="eastAsia" w:eastAsia="楷体" w:cs="宋体"/>
          <w:color w:val="000000"/>
          <w:sz w:val="28"/>
          <w:szCs w:val="28"/>
          <w:lang w:bidi="ar"/>
        </w:rPr>
        <w:t>本文件界定了“生物安全关键控制点（biosafety critical control point）”的定义，即在生物安全管理中，能实施防控措施以预防、消除生物安全危害或将其降低到可接受水平的特定的步骤、位置或程序</w:t>
      </w:r>
      <w:r>
        <w:rPr>
          <w:rFonts w:hint="eastAsia" w:eastAsia="楷体"/>
          <w:color w:val="000000"/>
          <w:sz w:val="28"/>
          <w:szCs w:val="28"/>
          <w:lang w:bidi="ar"/>
        </w:rPr>
        <w:t>。</w:t>
      </w:r>
    </w:p>
    <w:p w14:paraId="6126985F">
      <w:pPr>
        <w:ind w:firstLine="560" w:firstLineChars="200"/>
        <w:jc w:val="both"/>
        <w:rPr>
          <w:rFonts w:eastAsia="楷体" w:cs="宋体"/>
          <w:color w:val="000000"/>
          <w:sz w:val="28"/>
          <w:szCs w:val="28"/>
          <w:lang w:bidi="ar"/>
        </w:rPr>
      </w:pPr>
      <w:r>
        <w:rPr>
          <w:rFonts w:eastAsia="楷体" w:cs="宋体"/>
          <w:color w:val="000000"/>
          <w:sz w:val="28"/>
          <w:szCs w:val="28"/>
          <w:lang w:bidi="ar"/>
        </w:rPr>
        <w:t>4.</w:t>
      </w:r>
      <w:r>
        <w:rPr>
          <w:rFonts w:hint="eastAsia" w:eastAsia="楷体" w:cs="宋体"/>
          <w:color w:val="000000"/>
          <w:sz w:val="28"/>
          <w:szCs w:val="28"/>
          <w:lang w:bidi="ar"/>
        </w:rPr>
        <w:t>总体要求</w:t>
      </w:r>
      <w:r>
        <w:rPr>
          <w:rFonts w:eastAsia="楷体" w:cs="宋体"/>
          <w:color w:val="000000"/>
          <w:sz w:val="28"/>
          <w:szCs w:val="28"/>
          <w:lang w:bidi="ar"/>
        </w:rPr>
        <w:t>。</w:t>
      </w:r>
      <w:r>
        <w:rPr>
          <w:rFonts w:hint="eastAsia" w:eastAsia="楷体" w:cs="宋体"/>
          <w:color w:val="000000"/>
          <w:sz w:val="28"/>
          <w:szCs w:val="28"/>
          <w:lang w:bidi="ar"/>
        </w:rPr>
        <w:t>确立了系统设计应遵循实用性、先进性、可靠性、安全性和可扩展性原则。系统架构方面，明确了系统应由感知控制层、网络传输层和平台应用层组成的分层架构；关键控制点布设方面，规定了感知设备应覆盖外围防线、人员卫生控制区、车辆卫生控制区、物资卫生控制区、生产单元以及污道/环保区等六大生物安全关键环节。</w:t>
      </w:r>
    </w:p>
    <w:p w14:paraId="20B06B80">
      <w:pPr>
        <w:ind w:firstLine="560" w:firstLineChars="200"/>
        <w:jc w:val="both"/>
        <w:rPr>
          <w:rFonts w:eastAsia="楷体"/>
          <w:color w:val="000000"/>
          <w:sz w:val="28"/>
          <w:szCs w:val="28"/>
          <w:lang w:bidi="ar"/>
        </w:rPr>
      </w:pPr>
      <w:r>
        <w:rPr>
          <w:rFonts w:eastAsia="楷体" w:cs="宋体"/>
          <w:color w:val="000000"/>
          <w:sz w:val="28"/>
          <w:szCs w:val="28"/>
          <w:lang w:bidi="ar"/>
        </w:rPr>
        <w:t>5.</w:t>
      </w:r>
      <w:r>
        <w:rPr>
          <w:rFonts w:hint="eastAsia" w:eastAsia="楷体" w:cs="宋体"/>
          <w:color w:val="000000"/>
          <w:sz w:val="28"/>
          <w:szCs w:val="28"/>
          <w:lang w:bidi="ar"/>
        </w:rPr>
        <w:t>硬件配置要求</w:t>
      </w:r>
      <w:r>
        <w:rPr>
          <w:rFonts w:eastAsia="楷体"/>
          <w:color w:val="000000"/>
          <w:sz w:val="28"/>
          <w:szCs w:val="28"/>
          <w:lang w:bidi="ar"/>
        </w:rPr>
        <w:t>。</w:t>
      </w:r>
      <w:r>
        <w:rPr>
          <w:rFonts w:hint="eastAsia" w:eastAsia="楷体"/>
          <w:color w:val="000000"/>
          <w:sz w:val="28"/>
          <w:szCs w:val="28"/>
          <w:lang w:bidi="ar"/>
        </w:rPr>
        <w:t>对感知、网络及辅助设备提出了具体配置指标。感知与控制设备部分，要求配置通用监控设备及具备双光谱功能的热成像设备（测温误差≤±1℃）；规定了环境传感器（温湿度、气体等）及工况传感器（流量、液位等）的配置要求；明确了控制与交互终端（声光报警、门禁/道闸控制）的设置。防护等级方面，针对养殖场特殊环境，规定卫生控制区及生产单元设备防护等级不低于IP66并具备防腐蚀能力，其他区域不低于IP65。此外，还明确了网络存储及UPS不间断电源（后备时间≥30分钟）的配置要求。</w:t>
      </w:r>
    </w:p>
    <w:p w14:paraId="2B18D210">
      <w:pPr>
        <w:ind w:firstLine="560" w:firstLineChars="200"/>
        <w:jc w:val="both"/>
        <w:rPr>
          <w:rFonts w:eastAsia="楷体" w:cs="宋体"/>
          <w:color w:val="000000"/>
          <w:sz w:val="28"/>
          <w:szCs w:val="28"/>
          <w:lang w:bidi="ar"/>
        </w:rPr>
      </w:pPr>
      <w:r>
        <w:rPr>
          <w:rFonts w:hint="eastAsia" w:eastAsia="楷体" w:cs="宋体"/>
          <w:color w:val="000000"/>
          <w:sz w:val="28"/>
          <w:szCs w:val="28"/>
          <w:lang w:bidi="ar"/>
        </w:rPr>
        <w:t>6</w:t>
      </w:r>
      <w:r>
        <w:rPr>
          <w:rFonts w:eastAsia="楷体" w:cs="宋体"/>
          <w:color w:val="000000"/>
          <w:sz w:val="28"/>
          <w:szCs w:val="28"/>
          <w:lang w:bidi="ar"/>
        </w:rPr>
        <w:t>.</w:t>
      </w:r>
      <w:r>
        <w:rPr>
          <w:rFonts w:hint="eastAsia" w:eastAsia="楷体" w:cs="宋体"/>
          <w:color w:val="000000"/>
          <w:sz w:val="28"/>
          <w:szCs w:val="28"/>
          <w:lang w:bidi="ar"/>
        </w:rPr>
        <w:t>业务功能要求</w:t>
      </w:r>
      <w:r>
        <w:rPr>
          <w:rFonts w:eastAsia="楷体" w:cs="宋体"/>
          <w:color w:val="000000"/>
          <w:sz w:val="28"/>
          <w:szCs w:val="28"/>
          <w:lang w:bidi="ar"/>
        </w:rPr>
        <w:t>。</w:t>
      </w:r>
      <w:r>
        <w:rPr>
          <w:rFonts w:hint="eastAsia" w:eastAsia="楷体" w:cs="宋体"/>
          <w:color w:val="000000"/>
          <w:sz w:val="28"/>
          <w:szCs w:val="28"/>
          <w:lang w:bidi="ar"/>
        </w:rPr>
        <w:t>本部分详细规定了系统需实现的四大类核心业务功能：一是场区环境与生物监测，要求实时采集环境参数并具备外围防线对生物媒介与车辆的入侵识别能力；二是进出场流程管理，涵盖人员洗消（门禁联动、更衣记录）、车辆洗消（车牌识别、清洗消毒烘干全流程记录）及物资消毒（静置时长与设备运行记录）的全程监控；三是生产管理，要求支持生产违规追溯（如串舍、着装不规范）、猪群健康巡视（热成像测温、远程巡栏）及无害化处理监督（全过程轨迹与画面记录）；四是出栏管理，重点监控出猪台净污分区管理及销售数据的关联追溯，以实现业务流程的全面管控。</w:t>
      </w:r>
    </w:p>
    <w:p w14:paraId="723F6B01">
      <w:pPr>
        <w:ind w:firstLine="560" w:firstLineChars="200"/>
        <w:jc w:val="both"/>
        <w:rPr>
          <w:rFonts w:eastAsia="楷体"/>
          <w:color w:val="000000"/>
          <w:sz w:val="28"/>
          <w:szCs w:val="28"/>
          <w:lang w:bidi="ar"/>
        </w:rPr>
      </w:pPr>
      <w:r>
        <w:rPr>
          <w:rFonts w:hint="eastAsia" w:eastAsia="楷体"/>
          <w:color w:val="000000"/>
          <w:sz w:val="28"/>
          <w:szCs w:val="28"/>
          <w:lang w:bidi="ar"/>
        </w:rPr>
        <w:t>7</w:t>
      </w:r>
      <w:r>
        <w:rPr>
          <w:rFonts w:eastAsia="楷体"/>
          <w:color w:val="000000"/>
          <w:sz w:val="28"/>
          <w:szCs w:val="28"/>
          <w:lang w:bidi="ar"/>
        </w:rPr>
        <w:t>.</w:t>
      </w:r>
      <w:r>
        <w:rPr>
          <w:rFonts w:hint="eastAsia" w:eastAsia="楷体"/>
          <w:color w:val="000000"/>
          <w:sz w:val="28"/>
          <w:szCs w:val="28"/>
          <w:lang w:bidi="ar"/>
        </w:rPr>
        <w:t>系统管理功能要求</w:t>
      </w:r>
      <w:r>
        <w:rPr>
          <w:rFonts w:eastAsia="楷体"/>
          <w:color w:val="000000"/>
          <w:sz w:val="28"/>
          <w:szCs w:val="28"/>
          <w:lang w:bidi="ar"/>
        </w:rPr>
        <w:t>。</w:t>
      </w:r>
      <w:r>
        <w:rPr>
          <w:rFonts w:hint="eastAsia" w:eastAsia="楷体"/>
          <w:color w:val="000000"/>
          <w:sz w:val="28"/>
          <w:szCs w:val="28"/>
          <w:lang w:bidi="ar"/>
        </w:rPr>
        <w:t>本部分明确了系统平台软件层面的功能规范，要求系统支持符合GB/T 28181标准的视频流分发、多画面轮巡及基于AI模型的智能预警推送功能；在数据存储与安全方面，规定系统安全需达到等保二级要求，支持断网续传以确保数据完整性，并实行四级用户权限管理及不可删除的日志审计机制；此外，系统还应支持生成生物安全执行报表（如洗消合格率）及可视化看板，并预留自定义数据接口以实现疫苗、检测等外源数据的接入与融合分析。</w:t>
      </w:r>
    </w:p>
    <w:p w14:paraId="05F8F23D">
      <w:pPr>
        <w:ind w:firstLine="560" w:firstLineChars="200"/>
        <w:jc w:val="both"/>
        <w:rPr>
          <w:rFonts w:eastAsia="楷体" w:cs="宋体"/>
          <w:color w:val="000000"/>
          <w:sz w:val="28"/>
          <w:szCs w:val="28"/>
          <w:lang w:bidi="ar"/>
        </w:rPr>
      </w:pPr>
      <w:r>
        <w:rPr>
          <w:rFonts w:hint="eastAsia" w:eastAsia="楷体" w:cs="宋体"/>
          <w:color w:val="000000"/>
          <w:sz w:val="28"/>
          <w:szCs w:val="28"/>
          <w:lang w:bidi="ar"/>
        </w:rPr>
        <w:t>8</w:t>
      </w:r>
      <w:r>
        <w:rPr>
          <w:rFonts w:eastAsia="楷体" w:cs="宋体"/>
          <w:color w:val="000000"/>
          <w:sz w:val="28"/>
          <w:szCs w:val="28"/>
          <w:lang w:bidi="ar"/>
        </w:rPr>
        <w:t>.</w:t>
      </w:r>
      <w:r>
        <w:rPr>
          <w:rFonts w:hint="eastAsia" w:eastAsia="楷体" w:cs="宋体"/>
          <w:color w:val="000000"/>
          <w:sz w:val="28"/>
          <w:szCs w:val="28"/>
          <w:lang w:bidi="ar"/>
        </w:rPr>
        <w:t>性能指标与可靠性要求</w:t>
      </w:r>
      <w:r>
        <w:rPr>
          <w:rFonts w:eastAsia="楷体" w:cs="宋体"/>
          <w:color w:val="000000"/>
          <w:sz w:val="28"/>
          <w:szCs w:val="28"/>
          <w:lang w:bidi="ar"/>
        </w:rPr>
        <w:t>。</w:t>
      </w:r>
      <w:r>
        <w:rPr>
          <w:rFonts w:hint="eastAsia" w:eastAsia="楷体" w:cs="宋体"/>
          <w:color w:val="000000"/>
          <w:sz w:val="28"/>
          <w:szCs w:val="28"/>
          <w:lang w:bidi="ar"/>
        </w:rPr>
        <w:t>本部分规定了系统的性能指标与可靠性要求，其中性能指标方面，采集精度、识别准确率及实时性要求需参照GB/T 44985.4相关附录及规定执行，以确保满足猪场实际管理需求；在可靠性方面，重点强调了系统的安全性和适应性，并明确运维工作需符合GB/T 36626 的相关规定，从而保障系统在复杂养殖环境下的长期稳定运行。</w:t>
      </w:r>
    </w:p>
    <w:p w14:paraId="113F7AC9">
      <w:pPr>
        <w:ind w:firstLine="560" w:firstLineChars="200"/>
        <w:jc w:val="both"/>
        <w:rPr>
          <w:rFonts w:eastAsia="楷体"/>
          <w:sz w:val="28"/>
          <w:szCs w:val="28"/>
        </w:rPr>
      </w:pPr>
      <w:r>
        <w:rPr>
          <w:rFonts w:hint="eastAsia" w:eastAsia="楷体" w:cs="宋体"/>
          <w:color w:val="000000"/>
          <w:sz w:val="28"/>
          <w:szCs w:val="28"/>
          <w:lang w:bidi="ar"/>
        </w:rPr>
        <w:t>9.系统验收。本部分为新增章节，规定了系统验收应在系统试运行并连续稳定运行至少30天后进行，同时明确了验收需提交的完整文档清单，包括点位图与系统拓扑图等竣工资料、包含应急预案的运维手册、记录故障与整改情况的试运行报告以及主要硬件设备的合格证等，旨在确保项目交付质量与规范性。</w:t>
      </w:r>
    </w:p>
    <w:p w14:paraId="3288E5DC">
      <w:pPr>
        <w:pStyle w:val="2"/>
        <w:ind w:firstLine="562"/>
        <w:rPr>
          <w:rFonts w:ascii="Times New Roman" w:hAnsi="Times New Roman"/>
        </w:rPr>
      </w:pPr>
      <w:bookmarkStart w:id="14" w:name="_Toc179624682"/>
      <w:r>
        <w:rPr>
          <w:rFonts w:hint="eastAsia" w:ascii="Times New Roman" w:hAnsi="Times New Roman"/>
        </w:rPr>
        <w:t>三、主要试验（或验证）情况分析</w:t>
      </w:r>
      <w:bookmarkEnd w:id="14"/>
    </w:p>
    <w:p w14:paraId="4CB638BE">
      <w:pPr>
        <w:ind w:firstLine="560" w:firstLineChars="200"/>
        <w:jc w:val="both"/>
        <w:rPr>
          <w:rFonts w:eastAsia="楷体" w:cs="宋体"/>
          <w:color w:val="000000"/>
          <w:sz w:val="28"/>
          <w:szCs w:val="28"/>
          <w:lang w:bidi="ar"/>
        </w:rPr>
      </w:pPr>
      <w:r>
        <w:rPr>
          <w:rFonts w:hint="eastAsia" w:eastAsia="楷体" w:cs="宋体"/>
          <w:color w:val="000000"/>
          <w:sz w:val="28"/>
          <w:szCs w:val="28"/>
          <w:lang w:bidi="ar"/>
        </w:rPr>
        <w:t>本标准明确了生猪养殖生物安全信息化监控系统的基本要求，旨在为生猪养殖场的生物安全防控信息化系统的研发与建设提供指导，推动生物安全防控管理的升级，提升养殖场在生物安全防控方面的信息化、自动化和智能化水平。本标准聚焦于系统功能要求的规范性制定，不涉及具体的试验或验证工作。</w:t>
      </w:r>
    </w:p>
    <w:p w14:paraId="4B561F53">
      <w:pPr>
        <w:pStyle w:val="2"/>
        <w:ind w:firstLine="562"/>
        <w:rPr>
          <w:rFonts w:ascii="Times New Roman" w:hAnsi="Times New Roman"/>
        </w:rPr>
      </w:pPr>
      <w:bookmarkStart w:id="15" w:name="_Toc179624683"/>
      <w:r>
        <w:rPr>
          <w:rFonts w:hint="eastAsia" w:ascii="Times New Roman" w:hAnsi="Times New Roman"/>
        </w:rPr>
        <w:t>四、标准中涉及专利的情况</w:t>
      </w:r>
      <w:bookmarkEnd w:id="15"/>
    </w:p>
    <w:p w14:paraId="41FC96BB">
      <w:pPr>
        <w:ind w:firstLine="420"/>
        <w:rPr>
          <w:rFonts w:eastAsia="楷体"/>
          <w:sz w:val="28"/>
          <w:szCs w:val="28"/>
        </w:rPr>
      </w:pPr>
      <w:r>
        <w:rPr>
          <w:rFonts w:eastAsia="楷体"/>
          <w:sz w:val="28"/>
          <w:szCs w:val="28"/>
        </w:rPr>
        <w:t>无。</w:t>
      </w:r>
    </w:p>
    <w:p w14:paraId="122F6D23">
      <w:pPr>
        <w:pStyle w:val="2"/>
        <w:ind w:firstLine="562"/>
        <w:rPr>
          <w:rFonts w:hint="eastAsia"/>
        </w:rPr>
      </w:pPr>
      <w:bookmarkStart w:id="16" w:name="_Toc179624684"/>
      <w:r>
        <w:rPr>
          <w:rFonts w:hint="eastAsia"/>
        </w:rPr>
        <w:t>五、预期达到的社会效益、对产业发展的作用等情况</w:t>
      </w:r>
      <w:bookmarkEnd w:id="16"/>
    </w:p>
    <w:p w14:paraId="32A7DE0C">
      <w:pPr>
        <w:ind w:firstLine="562" w:firstLineChars="200"/>
        <w:jc w:val="both"/>
        <w:rPr>
          <w:rFonts w:eastAsia="楷体" w:cs="宋体"/>
          <w:color w:val="000000"/>
          <w:sz w:val="28"/>
          <w:szCs w:val="28"/>
        </w:rPr>
      </w:pPr>
      <w:r>
        <w:rPr>
          <w:rFonts w:hint="eastAsia" w:eastAsia="楷体" w:cs="宋体"/>
          <w:b/>
          <w:bCs/>
          <w:color w:val="000000"/>
          <w:sz w:val="28"/>
          <w:szCs w:val="28"/>
        </w:rPr>
        <w:t>1. 预期达到的社会效益。</w:t>
      </w:r>
      <w:r>
        <w:rPr>
          <w:rFonts w:hint="eastAsia" w:eastAsia="楷体" w:cs="宋体"/>
          <w:color w:val="000000"/>
          <w:sz w:val="28"/>
          <w:szCs w:val="28"/>
        </w:rPr>
        <w:t>实施生猪养殖生物安全信息化监控技术将显著提高公众健康保障水平，减少动物疫病的传播风险，从而保障食品安全，增强消费者的信任感。此外，生物安全管理的提升将降低疫病发生频率，减少因疫情导致的经济损失，维护社会稳定与和谐。同时，通过提升养殖场的生物安全标准，有助于提高农民的收入水平，促进农村经济的繁荣，推动乡村振兴战略的实现。</w:t>
      </w:r>
    </w:p>
    <w:p w14:paraId="3E1835DE">
      <w:pPr>
        <w:ind w:firstLine="562" w:firstLineChars="200"/>
        <w:jc w:val="both"/>
        <w:rPr>
          <w:rFonts w:eastAsia="楷体" w:cs="宋体"/>
          <w:color w:val="000000"/>
          <w:sz w:val="28"/>
          <w:szCs w:val="28"/>
        </w:rPr>
      </w:pPr>
      <w:r>
        <w:rPr>
          <w:rFonts w:hint="eastAsia" w:eastAsia="楷体" w:cs="宋体"/>
          <w:b/>
          <w:bCs/>
          <w:color w:val="000000"/>
          <w:sz w:val="28"/>
          <w:szCs w:val="28"/>
        </w:rPr>
        <w:t>2. 对产业发展的作用。</w:t>
      </w:r>
      <w:r>
        <w:rPr>
          <w:rFonts w:hint="eastAsia" w:eastAsia="楷体" w:cs="宋体"/>
          <w:color w:val="000000"/>
          <w:sz w:val="28"/>
          <w:szCs w:val="28"/>
        </w:rPr>
        <w:t>本技术规范的推广将推动生猪产业的现代化和智能化转型，提升生产效率与管理水平。实时监测和数据分析能力使养殖企业能够优化资源配置、降低运营成本，增强市场竞争力。同时，建立统一的技术规范和标准化体系将促进技术创新，吸引更多企业参与研发，推动整个产业链的协同发展。这不仅提高了行业整体竞争力，还有助于实现可持续发展，为生猪养殖行业的未来发展奠定坚实基础。</w:t>
      </w:r>
    </w:p>
    <w:p w14:paraId="39FFDE3C">
      <w:pPr>
        <w:pStyle w:val="2"/>
        <w:ind w:firstLine="562"/>
        <w:rPr>
          <w:rFonts w:ascii="Times New Roman" w:hAnsi="Times New Roman"/>
        </w:rPr>
      </w:pPr>
      <w:bookmarkStart w:id="17" w:name="_Toc179624685"/>
      <w:r>
        <w:rPr>
          <w:rFonts w:hint="eastAsia" w:ascii="Times New Roman" w:hAnsi="Times New Roman"/>
        </w:rPr>
        <w:t>六、与国际、国外同类标准技术内容的对比情况，或者与测试的国外样品、样机的有关数据对比情况</w:t>
      </w:r>
      <w:bookmarkEnd w:id="17"/>
    </w:p>
    <w:p w14:paraId="7C7F4104">
      <w:pPr>
        <w:ind w:firstLine="560" w:firstLineChars="200"/>
        <w:jc w:val="both"/>
        <w:rPr>
          <w:rFonts w:eastAsia="楷体" w:cs="宋体"/>
          <w:color w:val="000000"/>
          <w:sz w:val="28"/>
          <w:szCs w:val="28"/>
          <w:lang w:bidi="ar"/>
        </w:rPr>
      </w:pPr>
      <w:r>
        <w:rPr>
          <w:rFonts w:hint="eastAsia" w:eastAsia="楷体" w:cs="宋体"/>
          <w:color w:val="000000"/>
          <w:sz w:val="28"/>
          <w:szCs w:val="28"/>
          <w:lang w:bidi="ar"/>
        </w:rPr>
        <w:t>目前尚未见国内外发布有关生猪养殖生物安全信息化监控系统建设方面的类似标准。</w:t>
      </w:r>
    </w:p>
    <w:p w14:paraId="385D26EC">
      <w:pPr>
        <w:pStyle w:val="2"/>
        <w:ind w:firstLine="562"/>
        <w:rPr>
          <w:rFonts w:ascii="Times New Roman" w:hAnsi="Times New Roman"/>
        </w:rPr>
      </w:pPr>
      <w:bookmarkStart w:id="18" w:name="_Toc179624686"/>
      <w:r>
        <w:rPr>
          <w:rFonts w:hint="eastAsia" w:ascii="Times New Roman" w:hAnsi="Times New Roman"/>
        </w:rPr>
        <w:t>七、与有关的现行法律、法规和强制性标准的关系</w:t>
      </w:r>
      <w:bookmarkEnd w:id="18"/>
    </w:p>
    <w:p w14:paraId="68AAFA08">
      <w:pPr>
        <w:ind w:firstLine="560" w:firstLineChars="200"/>
        <w:jc w:val="both"/>
        <w:rPr>
          <w:rFonts w:eastAsia="楷体"/>
          <w:sz w:val="28"/>
          <w:szCs w:val="28"/>
        </w:rPr>
      </w:pPr>
      <w:r>
        <w:rPr>
          <w:rFonts w:hint="eastAsia" w:eastAsia="楷体" w:cs="宋体"/>
          <w:sz w:val="28"/>
          <w:szCs w:val="28"/>
          <w:lang w:bidi="ar"/>
        </w:rPr>
        <w:t>本标准与现行相关法律、法规、规章及相关标准协调一致。</w:t>
      </w:r>
    </w:p>
    <w:p w14:paraId="0246FDFF">
      <w:pPr>
        <w:pStyle w:val="2"/>
        <w:ind w:firstLine="562"/>
        <w:rPr>
          <w:rFonts w:ascii="Times New Roman" w:hAnsi="Times New Roman"/>
        </w:rPr>
      </w:pPr>
      <w:bookmarkStart w:id="19" w:name="_Toc179624687"/>
      <w:r>
        <w:rPr>
          <w:rFonts w:hint="eastAsia" w:ascii="Times New Roman" w:hAnsi="Times New Roman"/>
        </w:rPr>
        <w:t>八、重大分歧意见的处理经过和依据</w:t>
      </w:r>
      <w:bookmarkEnd w:id="19"/>
    </w:p>
    <w:p w14:paraId="788AC120">
      <w:pPr>
        <w:ind w:firstLine="560" w:firstLineChars="200"/>
        <w:jc w:val="both"/>
        <w:rPr>
          <w:rFonts w:eastAsia="楷体"/>
          <w:sz w:val="28"/>
          <w:szCs w:val="28"/>
        </w:rPr>
      </w:pPr>
      <w:r>
        <w:rPr>
          <w:rFonts w:eastAsia="楷体"/>
          <w:sz w:val="28"/>
          <w:szCs w:val="28"/>
        </w:rPr>
        <w:t>无。</w:t>
      </w:r>
    </w:p>
    <w:p w14:paraId="7E1FF03E">
      <w:pPr>
        <w:pStyle w:val="2"/>
        <w:ind w:firstLine="562"/>
        <w:rPr>
          <w:rFonts w:ascii="Times New Roman" w:hAnsi="Times New Roman"/>
        </w:rPr>
      </w:pPr>
      <w:bookmarkStart w:id="20" w:name="_Toc179624688"/>
      <w:r>
        <w:rPr>
          <w:rFonts w:hint="eastAsia" w:ascii="Times New Roman" w:hAnsi="Times New Roman"/>
        </w:rPr>
        <w:t>九、作为强制性标准或推荐性标准的建议</w:t>
      </w:r>
      <w:bookmarkEnd w:id="20"/>
    </w:p>
    <w:p w14:paraId="2A5088F7">
      <w:pPr>
        <w:ind w:firstLine="560" w:firstLineChars="200"/>
        <w:jc w:val="both"/>
        <w:rPr>
          <w:rFonts w:eastAsia="楷体"/>
          <w:sz w:val="28"/>
          <w:szCs w:val="28"/>
        </w:rPr>
      </w:pPr>
      <w:r>
        <w:rPr>
          <w:rFonts w:hint="eastAsia" w:eastAsia="楷体" w:cs="宋体"/>
          <w:color w:val="000000"/>
          <w:sz w:val="28"/>
          <w:szCs w:val="28"/>
          <w:lang w:bidi="ar"/>
        </w:rPr>
        <w:t>建议作为</w:t>
      </w:r>
      <w:r>
        <w:rPr>
          <w:rFonts w:hint="eastAsia" w:eastAsia="楷体" w:cs="宋体"/>
          <w:sz w:val="28"/>
          <w:szCs w:val="28"/>
        </w:rPr>
        <w:t>推荐</w:t>
      </w:r>
      <w:r>
        <w:rPr>
          <w:rFonts w:hint="eastAsia" w:eastAsia="楷体" w:cs="宋体"/>
          <w:color w:val="000000"/>
          <w:sz w:val="28"/>
          <w:szCs w:val="28"/>
          <w:lang w:bidi="ar"/>
        </w:rPr>
        <w:t>性农业行业标准。</w:t>
      </w:r>
    </w:p>
    <w:p w14:paraId="6EA32ABE">
      <w:pPr>
        <w:pStyle w:val="2"/>
        <w:ind w:firstLine="562"/>
        <w:rPr>
          <w:rFonts w:ascii="Times New Roman" w:hAnsi="Times New Roman"/>
        </w:rPr>
      </w:pPr>
      <w:bookmarkStart w:id="21" w:name="_Toc179624689"/>
      <w:r>
        <w:rPr>
          <w:rFonts w:hint="eastAsia" w:ascii="Times New Roman" w:hAnsi="Times New Roman"/>
        </w:rPr>
        <w:t>十、贯彻标准的要求和措施建议</w:t>
      </w:r>
      <w:bookmarkEnd w:id="21"/>
    </w:p>
    <w:p w14:paraId="4C32ACAD">
      <w:pPr>
        <w:ind w:firstLine="560" w:firstLineChars="200"/>
        <w:jc w:val="both"/>
        <w:rPr>
          <w:rFonts w:eastAsia="楷体"/>
          <w:sz w:val="28"/>
          <w:szCs w:val="28"/>
          <w:highlight w:val="yellow"/>
        </w:rPr>
      </w:pPr>
      <w:r>
        <w:rPr>
          <w:rFonts w:hint="eastAsia" w:eastAsia="楷体"/>
          <w:sz w:val="28"/>
          <w:szCs w:val="28"/>
        </w:rPr>
        <w:t>该标准发布实施后，应成立专门工作组，定期开展培训与宣传，建立反馈机制。此外，实施应分阶段进行，并提供资金支持与激励，定期评估和调整标准，以适应行业发展与技术进步，提升生猪养殖领域整体生物安全管理水平，促进可持续发展。</w:t>
      </w:r>
    </w:p>
    <w:p w14:paraId="49D8E1A6">
      <w:pPr>
        <w:pStyle w:val="2"/>
        <w:ind w:firstLine="562"/>
        <w:rPr>
          <w:rFonts w:ascii="Times New Roman" w:hAnsi="Times New Roman"/>
        </w:rPr>
      </w:pPr>
      <w:bookmarkStart w:id="22" w:name="_Toc179624690"/>
      <w:r>
        <w:rPr>
          <w:rFonts w:hint="eastAsia" w:ascii="Times New Roman" w:hAnsi="Times New Roman"/>
        </w:rPr>
        <w:t>十一、废止现行有关标准的建议</w:t>
      </w:r>
      <w:bookmarkEnd w:id="22"/>
    </w:p>
    <w:p w14:paraId="20557EDD">
      <w:pPr>
        <w:ind w:firstLine="560" w:firstLineChars="200"/>
        <w:jc w:val="both"/>
        <w:rPr>
          <w:rFonts w:eastAsia="楷体"/>
          <w:sz w:val="28"/>
          <w:szCs w:val="28"/>
        </w:rPr>
      </w:pPr>
      <w:r>
        <w:rPr>
          <w:rFonts w:hint="eastAsia" w:eastAsia="楷体"/>
          <w:sz w:val="28"/>
          <w:szCs w:val="28"/>
        </w:rPr>
        <w:t>无</w:t>
      </w:r>
      <w:r>
        <w:rPr>
          <w:rFonts w:eastAsia="楷体"/>
          <w:sz w:val="28"/>
          <w:szCs w:val="28"/>
        </w:rPr>
        <w:t>。</w:t>
      </w:r>
    </w:p>
    <w:p w14:paraId="0AF0AACC">
      <w:pPr>
        <w:pStyle w:val="2"/>
        <w:ind w:firstLine="562"/>
        <w:rPr>
          <w:rFonts w:ascii="Times New Roman" w:hAnsi="Times New Roman"/>
        </w:rPr>
      </w:pPr>
      <w:bookmarkStart w:id="23" w:name="_Toc179624691"/>
      <w:r>
        <w:rPr>
          <w:rFonts w:hint="eastAsia" w:ascii="Times New Roman" w:hAnsi="Times New Roman"/>
        </w:rPr>
        <w:t>十二、其他应予说明的事项</w:t>
      </w:r>
      <w:bookmarkEnd w:id="23"/>
    </w:p>
    <w:p w14:paraId="4DD504AA">
      <w:pPr>
        <w:pStyle w:val="16"/>
        <w:kinsoku w:val="0"/>
        <w:overflowPunct w:val="0"/>
        <w:spacing w:beforeAutospacing="0" w:afterAutospacing="0" w:line="360" w:lineRule="auto"/>
        <w:ind w:firstLine="560" w:firstLineChars="200"/>
        <w:jc w:val="both"/>
        <w:rPr>
          <w:rFonts w:eastAsia="楷体"/>
          <w:sz w:val="28"/>
          <w:szCs w:val="28"/>
        </w:rPr>
      </w:pPr>
      <w:r>
        <w:rPr>
          <w:rFonts w:eastAsia="楷体"/>
          <w:sz w:val="28"/>
          <w:szCs w:val="28"/>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dobe ｺﾚﾌ・Std R">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Light">
    <w:altName w:val="原版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文泉驿正黑">
    <w:panose1 w:val="02000603000000000000"/>
    <w:charset w:val="86"/>
    <w:family w:val="auto"/>
    <w:pitch w:val="default"/>
    <w:sig w:usb0="900002BF" w:usb1="2BDF7DFB" w:usb2="00000036" w:usb3="00000000" w:csb0="603E000D" w:csb1="D2D7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506157"/>
      <w:docPartObj>
        <w:docPartGallery w:val="autotext"/>
      </w:docPartObj>
    </w:sdtPr>
    <w:sdtContent>
      <w:p w14:paraId="6C6C96FA">
        <w:pPr>
          <w:pStyle w:val="12"/>
          <w:jc w:val="center"/>
        </w:pPr>
        <w:r>
          <w:fldChar w:fldCharType="begin"/>
        </w:r>
        <w:r>
          <w:instrText xml:space="preserve">PAGE   \* MERGEFORMAT</w:instrText>
        </w:r>
        <w:r>
          <w:fldChar w:fldCharType="separate"/>
        </w:r>
        <w:r>
          <w:rPr>
            <w:lang w:val="zh-CN"/>
          </w:rPr>
          <w:t>2</w:t>
        </w:r>
        <w:r>
          <w:fldChar w:fldCharType="end"/>
        </w:r>
      </w:p>
    </w:sdtContent>
  </w:sdt>
  <w:p w14:paraId="1CE8ED9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F2ADF"/>
    <w:multiLevelType w:val="singleLevel"/>
    <w:tmpl w:val="FF1F2A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0tTQxNDYxNLIwMTVR0lEKTi0uzszPAykwqQUABDCbYCwAAAA="/>
    <w:docVar w:name="commondata" w:val="eyJoZGlkIjoiNDBhNzM2ZTA0ZGRmODYwMzhhYzM2YjYxM2ExODRlMWMifQ=="/>
  </w:docVars>
  <w:rsids>
    <w:rsidRoot w:val="008B0AB5"/>
    <w:rsid w:val="00001D33"/>
    <w:rsid w:val="000054E5"/>
    <w:rsid w:val="00007484"/>
    <w:rsid w:val="00011FA0"/>
    <w:rsid w:val="00022650"/>
    <w:rsid w:val="00024D69"/>
    <w:rsid w:val="000301A3"/>
    <w:rsid w:val="0003136D"/>
    <w:rsid w:val="00031B78"/>
    <w:rsid w:val="00042CBF"/>
    <w:rsid w:val="000463BE"/>
    <w:rsid w:val="00050D34"/>
    <w:rsid w:val="00065475"/>
    <w:rsid w:val="000708CF"/>
    <w:rsid w:val="00083475"/>
    <w:rsid w:val="000A5983"/>
    <w:rsid w:val="000C7AB9"/>
    <w:rsid w:val="000C7B1A"/>
    <w:rsid w:val="000D4CA6"/>
    <w:rsid w:val="000E4CF5"/>
    <w:rsid w:val="000E5765"/>
    <w:rsid w:val="000E5B98"/>
    <w:rsid w:val="000E7D29"/>
    <w:rsid w:val="000E7DE5"/>
    <w:rsid w:val="000F09A1"/>
    <w:rsid w:val="000F2392"/>
    <w:rsid w:val="000F3CEE"/>
    <w:rsid w:val="00101F84"/>
    <w:rsid w:val="00110756"/>
    <w:rsid w:val="00112A39"/>
    <w:rsid w:val="001141C4"/>
    <w:rsid w:val="00132BF5"/>
    <w:rsid w:val="0015639D"/>
    <w:rsid w:val="0016013F"/>
    <w:rsid w:val="00163DA9"/>
    <w:rsid w:val="00176E96"/>
    <w:rsid w:val="00181A88"/>
    <w:rsid w:val="00181C75"/>
    <w:rsid w:val="00182058"/>
    <w:rsid w:val="00183834"/>
    <w:rsid w:val="00196197"/>
    <w:rsid w:val="001A6EAE"/>
    <w:rsid w:val="001A73E3"/>
    <w:rsid w:val="001B2B08"/>
    <w:rsid w:val="001C15DD"/>
    <w:rsid w:val="001C1764"/>
    <w:rsid w:val="001C4084"/>
    <w:rsid w:val="001C47FC"/>
    <w:rsid w:val="001C5ED0"/>
    <w:rsid w:val="001D30CC"/>
    <w:rsid w:val="001D48A0"/>
    <w:rsid w:val="001F1ED5"/>
    <w:rsid w:val="001F30D4"/>
    <w:rsid w:val="001F3EE7"/>
    <w:rsid w:val="00204887"/>
    <w:rsid w:val="002077C5"/>
    <w:rsid w:val="00216F3E"/>
    <w:rsid w:val="002242BB"/>
    <w:rsid w:val="002348EA"/>
    <w:rsid w:val="002358C0"/>
    <w:rsid w:val="00236E16"/>
    <w:rsid w:val="00243063"/>
    <w:rsid w:val="0024782F"/>
    <w:rsid w:val="00252C0B"/>
    <w:rsid w:val="002564A4"/>
    <w:rsid w:val="00273535"/>
    <w:rsid w:val="0027726B"/>
    <w:rsid w:val="0028164C"/>
    <w:rsid w:val="0028171D"/>
    <w:rsid w:val="00294C13"/>
    <w:rsid w:val="002A0893"/>
    <w:rsid w:val="002A08E5"/>
    <w:rsid w:val="002A41C8"/>
    <w:rsid w:val="002B0F16"/>
    <w:rsid w:val="002C37F8"/>
    <w:rsid w:val="002C665F"/>
    <w:rsid w:val="002C68B6"/>
    <w:rsid w:val="002E2361"/>
    <w:rsid w:val="002F2853"/>
    <w:rsid w:val="002F2B65"/>
    <w:rsid w:val="00300AC8"/>
    <w:rsid w:val="00302DAE"/>
    <w:rsid w:val="00304551"/>
    <w:rsid w:val="003209F4"/>
    <w:rsid w:val="00323230"/>
    <w:rsid w:val="003272A3"/>
    <w:rsid w:val="00331E12"/>
    <w:rsid w:val="00332BC8"/>
    <w:rsid w:val="00333128"/>
    <w:rsid w:val="00333E69"/>
    <w:rsid w:val="00337EFF"/>
    <w:rsid w:val="003426F2"/>
    <w:rsid w:val="00346DB2"/>
    <w:rsid w:val="0035010A"/>
    <w:rsid w:val="003516E2"/>
    <w:rsid w:val="00364C13"/>
    <w:rsid w:val="00373210"/>
    <w:rsid w:val="00373E53"/>
    <w:rsid w:val="0038343E"/>
    <w:rsid w:val="003A3CDB"/>
    <w:rsid w:val="003A5925"/>
    <w:rsid w:val="003A6CEE"/>
    <w:rsid w:val="003A7C63"/>
    <w:rsid w:val="003B29D0"/>
    <w:rsid w:val="003B6002"/>
    <w:rsid w:val="003B7366"/>
    <w:rsid w:val="003C0009"/>
    <w:rsid w:val="003C0E78"/>
    <w:rsid w:val="003C7503"/>
    <w:rsid w:val="003D05CC"/>
    <w:rsid w:val="003E1673"/>
    <w:rsid w:val="003E3509"/>
    <w:rsid w:val="003E661D"/>
    <w:rsid w:val="003F1AFB"/>
    <w:rsid w:val="00404DDB"/>
    <w:rsid w:val="00412FEA"/>
    <w:rsid w:val="0041372F"/>
    <w:rsid w:val="00417909"/>
    <w:rsid w:val="00421835"/>
    <w:rsid w:val="00422C33"/>
    <w:rsid w:val="00423597"/>
    <w:rsid w:val="004236FA"/>
    <w:rsid w:val="004302DF"/>
    <w:rsid w:val="00433CC8"/>
    <w:rsid w:val="004403D8"/>
    <w:rsid w:val="00440A9F"/>
    <w:rsid w:val="00450582"/>
    <w:rsid w:val="00453CE3"/>
    <w:rsid w:val="00455E60"/>
    <w:rsid w:val="00456C17"/>
    <w:rsid w:val="00463E38"/>
    <w:rsid w:val="00465558"/>
    <w:rsid w:val="00474A6E"/>
    <w:rsid w:val="00482BB7"/>
    <w:rsid w:val="00486FC1"/>
    <w:rsid w:val="00494BF4"/>
    <w:rsid w:val="004A0D7D"/>
    <w:rsid w:val="004A217B"/>
    <w:rsid w:val="004A699B"/>
    <w:rsid w:val="004B00D8"/>
    <w:rsid w:val="004B01B1"/>
    <w:rsid w:val="004B4964"/>
    <w:rsid w:val="004C2E30"/>
    <w:rsid w:val="004C4F4C"/>
    <w:rsid w:val="004C625C"/>
    <w:rsid w:val="004C769C"/>
    <w:rsid w:val="004D1FE0"/>
    <w:rsid w:val="004E0573"/>
    <w:rsid w:val="004F1B91"/>
    <w:rsid w:val="004F435E"/>
    <w:rsid w:val="004F6844"/>
    <w:rsid w:val="0050097C"/>
    <w:rsid w:val="00503F13"/>
    <w:rsid w:val="00505CE9"/>
    <w:rsid w:val="005127C9"/>
    <w:rsid w:val="00512BE5"/>
    <w:rsid w:val="005131A9"/>
    <w:rsid w:val="00521B8D"/>
    <w:rsid w:val="0052276A"/>
    <w:rsid w:val="005339E1"/>
    <w:rsid w:val="00534E84"/>
    <w:rsid w:val="00541DA5"/>
    <w:rsid w:val="0054264E"/>
    <w:rsid w:val="00546914"/>
    <w:rsid w:val="0055793D"/>
    <w:rsid w:val="00564887"/>
    <w:rsid w:val="00577799"/>
    <w:rsid w:val="00583646"/>
    <w:rsid w:val="00585B2C"/>
    <w:rsid w:val="0058681C"/>
    <w:rsid w:val="005903D0"/>
    <w:rsid w:val="005A41EA"/>
    <w:rsid w:val="005A5BEC"/>
    <w:rsid w:val="005B1642"/>
    <w:rsid w:val="005B2A83"/>
    <w:rsid w:val="005B6EBF"/>
    <w:rsid w:val="005B7AA8"/>
    <w:rsid w:val="005C05B2"/>
    <w:rsid w:val="005C06A5"/>
    <w:rsid w:val="005C11CA"/>
    <w:rsid w:val="005D53FD"/>
    <w:rsid w:val="005E06D5"/>
    <w:rsid w:val="005E61D4"/>
    <w:rsid w:val="005E6438"/>
    <w:rsid w:val="005E6AFA"/>
    <w:rsid w:val="005E6B60"/>
    <w:rsid w:val="005F7D9F"/>
    <w:rsid w:val="00603D97"/>
    <w:rsid w:val="00607B2A"/>
    <w:rsid w:val="006108B9"/>
    <w:rsid w:val="0061523C"/>
    <w:rsid w:val="00616EE2"/>
    <w:rsid w:val="006259F7"/>
    <w:rsid w:val="00626514"/>
    <w:rsid w:val="00626798"/>
    <w:rsid w:val="0063177B"/>
    <w:rsid w:val="00636A1D"/>
    <w:rsid w:val="00641372"/>
    <w:rsid w:val="00641B30"/>
    <w:rsid w:val="00642148"/>
    <w:rsid w:val="006424B4"/>
    <w:rsid w:val="00643BBB"/>
    <w:rsid w:val="00646EF9"/>
    <w:rsid w:val="0065066D"/>
    <w:rsid w:val="00651D03"/>
    <w:rsid w:val="006546B2"/>
    <w:rsid w:val="00657E38"/>
    <w:rsid w:val="006602CA"/>
    <w:rsid w:val="00661C63"/>
    <w:rsid w:val="00663913"/>
    <w:rsid w:val="00666113"/>
    <w:rsid w:val="006706BA"/>
    <w:rsid w:val="00671CCA"/>
    <w:rsid w:val="0067421F"/>
    <w:rsid w:val="0068417F"/>
    <w:rsid w:val="00695755"/>
    <w:rsid w:val="006C0098"/>
    <w:rsid w:val="006C0598"/>
    <w:rsid w:val="006C40C6"/>
    <w:rsid w:val="006C5263"/>
    <w:rsid w:val="006D08CE"/>
    <w:rsid w:val="006D15FC"/>
    <w:rsid w:val="006D48B2"/>
    <w:rsid w:val="006D5725"/>
    <w:rsid w:val="006D7685"/>
    <w:rsid w:val="006E25FD"/>
    <w:rsid w:val="006E4A7C"/>
    <w:rsid w:val="006E4D96"/>
    <w:rsid w:val="006F31B1"/>
    <w:rsid w:val="006F4120"/>
    <w:rsid w:val="006F6529"/>
    <w:rsid w:val="00702738"/>
    <w:rsid w:val="00710F3F"/>
    <w:rsid w:val="00717403"/>
    <w:rsid w:val="007242F1"/>
    <w:rsid w:val="00726300"/>
    <w:rsid w:val="00727B91"/>
    <w:rsid w:val="00744FD4"/>
    <w:rsid w:val="00747068"/>
    <w:rsid w:val="0075740A"/>
    <w:rsid w:val="0076134C"/>
    <w:rsid w:val="00761801"/>
    <w:rsid w:val="00761B4D"/>
    <w:rsid w:val="007675AC"/>
    <w:rsid w:val="007753F2"/>
    <w:rsid w:val="00775EE4"/>
    <w:rsid w:val="00782C1C"/>
    <w:rsid w:val="00786473"/>
    <w:rsid w:val="00786F21"/>
    <w:rsid w:val="007936A3"/>
    <w:rsid w:val="007959A8"/>
    <w:rsid w:val="007A104F"/>
    <w:rsid w:val="007C5C1E"/>
    <w:rsid w:val="007C77EB"/>
    <w:rsid w:val="007D3558"/>
    <w:rsid w:val="007D57C8"/>
    <w:rsid w:val="007E0DD8"/>
    <w:rsid w:val="007E13A9"/>
    <w:rsid w:val="007E2B53"/>
    <w:rsid w:val="007E592D"/>
    <w:rsid w:val="007F0F2C"/>
    <w:rsid w:val="007F26BE"/>
    <w:rsid w:val="007F34F1"/>
    <w:rsid w:val="008017F2"/>
    <w:rsid w:val="00804C51"/>
    <w:rsid w:val="00822AB1"/>
    <w:rsid w:val="008233B2"/>
    <w:rsid w:val="008272E6"/>
    <w:rsid w:val="0083317B"/>
    <w:rsid w:val="00835D3A"/>
    <w:rsid w:val="008365A1"/>
    <w:rsid w:val="00846610"/>
    <w:rsid w:val="00847F67"/>
    <w:rsid w:val="00852F0C"/>
    <w:rsid w:val="008662F7"/>
    <w:rsid w:val="008679B1"/>
    <w:rsid w:val="0087226A"/>
    <w:rsid w:val="00875D5A"/>
    <w:rsid w:val="00875EEF"/>
    <w:rsid w:val="00885EC9"/>
    <w:rsid w:val="00891B9E"/>
    <w:rsid w:val="00893CB6"/>
    <w:rsid w:val="008A0C66"/>
    <w:rsid w:val="008A2572"/>
    <w:rsid w:val="008A3658"/>
    <w:rsid w:val="008A5399"/>
    <w:rsid w:val="008B0470"/>
    <w:rsid w:val="008B0AB5"/>
    <w:rsid w:val="008C01C0"/>
    <w:rsid w:val="008C12A2"/>
    <w:rsid w:val="008C1EEB"/>
    <w:rsid w:val="008C40C7"/>
    <w:rsid w:val="008C6BDB"/>
    <w:rsid w:val="008D49B9"/>
    <w:rsid w:val="008D5D45"/>
    <w:rsid w:val="008D7EB6"/>
    <w:rsid w:val="008E1E78"/>
    <w:rsid w:val="008E3839"/>
    <w:rsid w:val="008E3A94"/>
    <w:rsid w:val="008E7E86"/>
    <w:rsid w:val="008F20E4"/>
    <w:rsid w:val="008F7EAB"/>
    <w:rsid w:val="009055B2"/>
    <w:rsid w:val="00906309"/>
    <w:rsid w:val="00907B7F"/>
    <w:rsid w:val="0091107F"/>
    <w:rsid w:val="00911B87"/>
    <w:rsid w:val="00925588"/>
    <w:rsid w:val="00927003"/>
    <w:rsid w:val="0092783B"/>
    <w:rsid w:val="00930400"/>
    <w:rsid w:val="0093510E"/>
    <w:rsid w:val="00943F78"/>
    <w:rsid w:val="00956AA9"/>
    <w:rsid w:val="009570C5"/>
    <w:rsid w:val="00961593"/>
    <w:rsid w:val="00966887"/>
    <w:rsid w:val="00972D13"/>
    <w:rsid w:val="00976300"/>
    <w:rsid w:val="00983556"/>
    <w:rsid w:val="0098735E"/>
    <w:rsid w:val="00991435"/>
    <w:rsid w:val="009920B9"/>
    <w:rsid w:val="00993722"/>
    <w:rsid w:val="00993A83"/>
    <w:rsid w:val="009953EC"/>
    <w:rsid w:val="0099544D"/>
    <w:rsid w:val="009A38A4"/>
    <w:rsid w:val="009A72E1"/>
    <w:rsid w:val="009B0EBC"/>
    <w:rsid w:val="009B644C"/>
    <w:rsid w:val="009B69F6"/>
    <w:rsid w:val="009C1561"/>
    <w:rsid w:val="009D392A"/>
    <w:rsid w:val="009D43FC"/>
    <w:rsid w:val="009D5CAC"/>
    <w:rsid w:val="009E244C"/>
    <w:rsid w:val="009E27AF"/>
    <w:rsid w:val="009E70C0"/>
    <w:rsid w:val="009F4CAA"/>
    <w:rsid w:val="00A00B6D"/>
    <w:rsid w:val="00A042CA"/>
    <w:rsid w:val="00A10E58"/>
    <w:rsid w:val="00A15E60"/>
    <w:rsid w:val="00A23EDE"/>
    <w:rsid w:val="00A24370"/>
    <w:rsid w:val="00A2662A"/>
    <w:rsid w:val="00A33138"/>
    <w:rsid w:val="00A33ABE"/>
    <w:rsid w:val="00A369B9"/>
    <w:rsid w:val="00A37E2D"/>
    <w:rsid w:val="00A4104A"/>
    <w:rsid w:val="00A412E9"/>
    <w:rsid w:val="00A41763"/>
    <w:rsid w:val="00A426CC"/>
    <w:rsid w:val="00A4330F"/>
    <w:rsid w:val="00A54EC4"/>
    <w:rsid w:val="00A60F09"/>
    <w:rsid w:val="00A615E4"/>
    <w:rsid w:val="00A61BA4"/>
    <w:rsid w:val="00A71182"/>
    <w:rsid w:val="00A71DB1"/>
    <w:rsid w:val="00A72DCC"/>
    <w:rsid w:val="00A733FC"/>
    <w:rsid w:val="00A77B98"/>
    <w:rsid w:val="00A801F2"/>
    <w:rsid w:val="00A8470C"/>
    <w:rsid w:val="00A9444A"/>
    <w:rsid w:val="00A9711C"/>
    <w:rsid w:val="00AA2638"/>
    <w:rsid w:val="00AB579F"/>
    <w:rsid w:val="00AC339A"/>
    <w:rsid w:val="00AE059A"/>
    <w:rsid w:val="00AF041A"/>
    <w:rsid w:val="00AF065D"/>
    <w:rsid w:val="00AF0A03"/>
    <w:rsid w:val="00AF7511"/>
    <w:rsid w:val="00B14067"/>
    <w:rsid w:val="00B16433"/>
    <w:rsid w:val="00B17C67"/>
    <w:rsid w:val="00B17EEB"/>
    <w:rsid w:val="00B27F3B"/>
    <w:rsid w:val="00B3179B"/>
    <w:rsid w:val="00B31E18"/>
    <w:rsid w:val="00B36002"/>
    <w:rsid w:val="00B4297F"/>
    <w:rsid w:val="00B4450F"/>
    <w:rsid w:val="00B455D0"/>
    <w:rsid w:val="00B50875"/>
    <w:rsid w:val="00B51DBE"/>
    <w:rsid w:val="00B53E07"/>
    <w:rsid w:val="00B5596B"/>
    <w:rsid w:val="00B65705"/>
    <w:rsid w:val="00B700E5"/>
    <w:rsid w:val="00B71ED9"/>
    <w:rsid w:val="00B725A8"/>
    <w:rsid w:val="00B73B4C"/>
    <w:rsid w:val="00B75773"/>
    <w:rsid w:val="00B84E7F"/>
    <w:rsid w:val="00B8774D"/>
    <w:rsid w:val="00BA1C86"/>
    <w:rsid w:val="00BA3C37"/>
    <w:rsid w:val="00BA4C5C"/>
    <w:rsid w:val="00BA6054"/>
    <w:rsid w:val="00BA7651"/>
    <w:rsid w:val="00BB2B63"/>
    <w:rsid w:val="00BB6876"/>
    <w:rsid w:val="00BD3CB5"/>
    <w:rsid w:val="00BD79DE"/>
    <w:rsid w:val="00BE01AD"/>
    <w:rsid w:val="00BE07EB"/>
    <w:rsid w:val="00BE1F55"/>
    <w:rsid w:val="00BE3756"/>
    <w:rsid w:val="00BE6B5A"/>
    <w:rsid w:val="00BF1316"/>
    <w:rsid w:val="00BF6404"/>
    <w:rsid w:val="00C03DFB"/>
    <w:rsid w:val="00C109D9"/>
    <w:rsid w:val="00C3161B"/>
    <w:rsid w:val="00C31CAF"/>
    <w:rsid w:val="00C323CE"/>
    <w:rsid w:val="00C335DB"/>
    <w:rsid w:val="00C3394B"/>
    <w:rsid w:val="00C35574"/>
    <w:rsid w:val="00C47524"/>
    <w:rsid w:val="00C65186"/>
    <w:rsid w:val="00C67207"/>
    <w:rsid w:val="00C76D51"/>
    <w:rsid w:val="00C83BCE"/>
    <w:rsid w:val="00C85A19"/>
    <w:rsid w:val="00C85B6B"/>
    <w:rsid w:val="00C8650D"/>
    <w:rsid w:val="00C92A9D"/>
    <w:rsid w:val="00C92B64"/>
    <w:rsid w:val="00C93185"/>
    <w:rsid w:val="00C97992"/>
    <w:rsid w:val="00CA0209"/>
    <w:rsid w:val="00CA1DFD"/>
    <w:rsid w:val="00CA258B"/>
    <w:rsid w:val="00CA593C"/>
    <w:rsid w:val="00CB60F1"/>
    <w:rsid w:val="00CC15CF"/>
    <w:rsid w:val="00CC1F58"/>
    <w:rsid w:val="00CC7EAF"/>
    <w:rsid w:val="00CD10EC"/>
    <w:rsid w:val="00CD3EA6"/>
    <w:rsid w:val="00CD6F7F"/>
    <w:rsid w:val="00CD7CBB"/>
    <w:rsid w:val="00D0026F"/>
    <w:rsid w:val="00D037A5"/>
    <w:rsid w:val="00D21264"/>
    <w:rsid w:val="00D219B9"/>
    <w:rsid w:val="00D234FE"/>
    <w:rsid w:val="00D24694"/>
    <w:rsid w:val="00D252BD"/>
    <w:rsid w:val="00D26856"/>
    <w:rsid w:val="00D277A7"/>
    <w:rsid w:val="00D27AFE"/>
    <w:rsid w:val="00D30DD9"/>
    <w:rsid w:val="00D43C78"/>
    <w:rsid w:val="00D530BD"/>
    <w:rsid w:val="00D531EF"/>
    <w:rsid w:val="00D538C8"/>
    <w:rsid w:val="00D54DA8"/>
    <w:rsid w:val="00D60FAD"/>
    <w:rsid w:val="00D6263D"/>
    <w:rsid w:val="00D62663"/>
    <w:rsid w:val="00D64123"/>
    <w:rsid w:val="00D81214"/>
    <w:rsid w:val="00D902B3"/>
    <w:rsid w:val="00D90A75"/>
    <w:rsid w:val="00D912FE"/>
    <w:rsid w:val="00D93C96"/>
    <w:rsid w:val="00DA0942"/>
    <w:rsid w:val="00DA0BF1"/>
    <w:rsid w:val="00DB5566"/>
    <w:rsid w:val="00DB6405"/>
    <w:rsid w:val="00DD1B17"/>
    <w:rsid w:val="00DD1E5D"/>
    <w:rsid w:val="00DD2720"/>
    <w:rsid w:val="00DD2AE2"/>
    <w:rsid w:val="00DD4E64"/>
    <w:rsid w:val="00DD6901"/>
    <w:rsid w:val="00DE0149"/>
    <w:rsid w:val="00DE7468"/>
    <w:rsid w:val="00DF02A6"/>
    <w:rsid w:val="00DF79D9"/>
    <w:rsid w:val="00E033EF"/>
    <w:rsid w:val="00E03467"/>
    <w:rsid w:val="00E13E1F"/>
    <w:rsid w:val="00E208A6"/>
    <w:rsid w:val="00E21487"/>
    <w:rsid w:val="00E2276E"/>
    <w:rsid w:val="00E22DAF"/>
    <w:rsid w:val="00E328F1"/>
    <w:rsid w:val="00E376B0"/>
    <w:rsid w:val="00E415A6"/>
    <w:rsid w:val="00E468C6"/>
    <w:rsid w:val="00E52E9C"/>
    <w:rsid w:val="00E53186"/>
    <w:rsid w:val="00E54D24"/>
    <w:rsid w:val="00E7262D"/>
    <w:rsid w:val="00E77AB2"/>
    <w:rsid w:val="00E85807"/>
    <w:rsid w:val="00E90E5F"/>
    <w:rsid w:val="00E91469"/>
    <w:rsid w:val="00E95369"/>
    <w:rsid w:val="00EA1909"/>
    <w:rsid w:val="00EA3070"/>
    <w:rsid w:val="00EA3DD0"/>
    <w:rsid w:val="00EA5FB4"/>
    <w:rsid w:val="00EB28EB"/>
    <w:rsid w:val="00EB4524"/>
    <w:rsid w:val="00EB4672"/>
    <w:rsid w:val="00EC0785"/>
    <w:rsid w:val="00EC5E5A"/>
    <w:rsid w:val="00ED1B3C"/>
    <w:rsid w:val="00ED3AD6"/>
    <w:rsid w:val="00EE752D"/>
    <w:rsid w:val="00EF2053"/>
    <w:rsid w:val="00EF270C"/>
    <w:rsid w:val="00EF4C63"/>
    <w:rsid w:val="00F13FB4"/>
    <w:rsid w:val="00F221C2"/>
    <w:rsid w:val="00F22D68"/>
    <w:rsid w:val="00F22ECB"/>
    <w:rsid w:val="00F25DA4"/>
    <w:rsid w:val="00F329B6"/>
    <w:rsid w:val="00F34205"/>
    <w:rsid w:val="00F37F7E"/>
    <w:rsid w:val="00F4054B"/>
    <w:rsid w:val="00F50B7C"/>
    <w:rsid w:val="00F53BD1"/>
    <w:rsid w:val="00F54AAB"/>
    <w:rsid w:val="00F616B7"/>
    <w:rsid w:val="00F634D7"/>
    <w:rsid w:val="00F73977"/>
    <w:rsid w:val="00F74BC2"/>
    <w:rsid w:val="00F76C5B"/>
    <w:rsid w:val="00F8069F"/>
    <w:rsid w:val="00F83EC3"/>
    <w:rsid w:val="00F92267"/>
    <w:rsid w:val="00F943AB"/>
    <w:rsid w:val="00FA7564"/>
    <w:rsid w:val="00FB4182"/>
    <w:rsid w:val="00FC141E"/>
    <w:rsid w:val="00FC1AEA"/>
    <w:rsid w:val="00FC3511"/>
    <w:rsid w:val="00FC55FC"/>
    <w:rsid w:val="00FD7AA1"/>
    <w:rsid w:val="00FF3A4C"/>
    <w:rsid w:val="08B140D7"/>
    <w:rsid w:val="10236AC8"/>
    <w:rsid w:val="1BCD1019"/>
    <w:rsid w:val="1EF37B2B"/>
    <w:rsid w:val="1FBF312C"/>
    <w:rsid w:val="22842735"/>
    <w:rsid w:val="294F3CE1"/>
    <w:rsid w:val="29F81977"/>
    <w:rsid w:val="395D19E8"/>
    <w:rsid w:val="3BF64B9E"/>
    <w:rsid w:val="3DC222D4"/>
    <w:rsid w:val="3E052621"/>
    <w:rsid w:val="4013025E"/>
    <w:rsid w:val="4A495262"/>
    <w:rsid w:val="4D5C7140"/>
    <w:rsid w:val="51E11F6A"/>
    <w:rsid w:val="5473040A"/>
    <w:rsid w:val="59B63F8C"/>
    <w:rsid w:val="61DC0891"/>
    <w:rsid w:val="67A75773"/>
    <w:rsid w:val="690F4AB2"/>
    <w:rsid w:val="6D7C272C"/>
    <w:rsid w:val="736E13C3"/>
    <w:rsid w:val="7F4357BD"/>
    <w:rsid w:val="DB8F9D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sz w:val="24"/>
      <w:szCs w:val="24"/>
      <w:lang w:val="en-US" w:eastAsia="zh-CN" w:bidi="ar-SA"/>
    </w:rPr>
  </w:style>
  <w:style w:type="paragraph" w:styleId="2">
    <w:name w:val="heading 1"/>
    <w:basedOn w:val="1"/>
    <w:next w:val="1"/>
    <w:link w:val="25"/>
    <w:qFormat/>
    <w:uiPriority w:val="1"/>
    <w:pPr>
      <w:ind w:firstLine="200" w:firstLineChars="200"/>
      <w:outlineLvl w:val="0"/>
    </w:pPr>
    <w:rPr>
      <w:rFonts w:ascii="宋体" w:hAnsi="宋体" w:eastAsia="楷体" w:cs="宋体"/>
      <w:b/>
      <w:sz w:val="28"/>
      <w:szCs w:val="28"/>
    </w:rPr>
  </w:style>
  <w:style w:type="paragraph" w:styleId="3">
    <w:name w:val="heading 2"/>
    <w:basedOn w:val="1"/>
    <w:next w:val="1"/>
    <w:link w:val="26"/>
    <w:qFormat/>
    <w:uiPriority w:val="1"/>
    <w:pPr>
      <w:ind w:left="120"/>
      <w:outlineLvl w:val="1"/>
    </w:pPr>
    <w:rPr>
      <w:rFonts w:ascii="Adobe ｺﾚﾌ・Std R" w:hAnsi="Adobe ｺﾚﾌ・Std R" w:eastAsia="楷体" w:cs="Adobe ｺﾚﾌ・Std R"/>
      <w:b/>
      <w:sz w:val="28"/>
    </w:rPr>
  </w:style>
  <w:style w:type="paragraph" w:styleId="4">
    <w:name w:val="heading 3"/>
    <w:basedOn w:val="1"/>
    <w:next w:val="1"/>
    <w:unhideWhenUsed/>
    <w:qFormat/>
    <w:uiPriority w:val="0"/>
    <w:pPr>
      <w:spacing w:beforeAutospacing="1" w:afterAutospacing="1"/>
      <w:outlineLvl w:val="2"/>
    </w:pPr>
    <w:rPr>
      <w:rFonts w:hint="eastAsia" w:ascii="宋体" w:hAnsi="宋体" w:eastAsia="宋体"/>
      <w:b/>
      <w:bCs/>
      <w:sz w:val="27"/>
      <w:szCs w:val="27"/>
    </w:rPr>
  </w:style>
  <w:style w:type="paragraph" w:styleId="5">
    <w:name w:val="heading 4"/>
    <w:basedOn w:val="1"/>
    <w:next w:val="1"/>
    <w:semiHidden/>
    <w:unhideWhenUsed/>
    <w:qFormat/>
    <w:uiPriority w:val="9"/>
    <w:pPr>
      <w:spacing w:beforeAutospacing="1" w:afterAutospacing="1"/>
      <w:outlineLvl w:val="3"/>
    </w:pPr>
    <w:rPr>
      <w:rFonts w:hint="eastAsia" w:ascii="宋体" w:hAnsi="宋体" w:eastAsia="宋体"/>
      <w:b/>
      <w:bC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8"/>
    <w:semiHidden/>
    <w:unhideWhenUsed/>
    <w:qFormat/>
    <w:uiPriority w:val="99"/>
  </w:style>
  <w:style w:type="paragraph" w:styleId="7">
    <w:name w:val="Body Text"/>
    <w:basedOn w:val="1"/>
    <w:link w:val="27"/>
    <w:qFormat/>
    <w:uiPriority w:val="1"/>
    <w:pPr>
      <w:ind w:left="120"/>
    </w:pPr>
    <w:rPr>
      <w:rFonts w:ascii="宋体" w:eastAsia="宋体" w:cs="宋体"/>
      <w:sz w:val="21"/>
      <w:szCs w:val="21"/>
    </w:rPr>
  </w:style>
  <w:style w:type="paragraph" w:styleId="8">
    <w:name w:val="Body Text Indent"/>
    <w:basedOn w:val="1"/>
    <w:link w:val="42"/>
    <w:semiHidden/>
    <w:unhideWhenUsed/>
    <w:qFormat/>
    <w:uiPriority w:val="99"/>
    <w:pPr>
      <w:spacing w:after="120"/>
      <w:ind w:left="420" w:leftChars="200"/>
    </w:pPr>
  </w:style>
  <w:style w:type="paragraph" w:styleId="9">
    <w:name w:val="toc 3"/>
    <w:basedOn w:val="1"/>
    <w:next w:val="1"/>
    <w:unhideWhenUsed/>
    <w:qFormat/>
    <w:uiPriority w:val="39"/>
    <w:pPr>
      <w:widowControl/>
      <w:autoSpaceDE/>
      <w:autoSpaceDN/>
      <w:adjustRightInd/>
      <w:spacing w:after="100" w:line="259" w:lineRule="auto"/>
      <w:ind w:left="440"/>
    </w:pPr>
    <w:rPr>
      <w:rFonts w:asciiTheme="minorHAnsi" w:hAnsiTheme="minorHAnsi"/>
      <w:sz w:val="22"/>
      <w:szCs w:val="22"/>
    </w:rPr>
  </w:style>
  <w:style w:type="paragraph" w:styleId="10">
    <w:name w:val="Date"/>
    <w:basedOn w:val="1"/>
    <w:next w:val="1"/>
    <w:link w:val="41"/>
    <w:semiHidden/>
    <w:unhideWhenUsed/>
    <w:qFormat/>
    <w:uiPriority w:val="99"/>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35"/>
    <w:unhideWhenUsed/>
    <w:qFormat/>
    <w:uiPriority w:val="99"/>
    <w:pPr>
      <w:tabs>
        <w:tab w:val="center" w:pos="4153"/>
        <w:tab w:val="right" w:pos="8306"/>
      </w:tabs>
      <w:snapToGrid w:val="0"/>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0"/>
    <w:pPr>
      <w:spacing w:beforeAutospacing="1" w:afterAutospacing="1"/>
    </w:pPr>
  </w:style>
  <w:style w:type="paragraph" w:styleId="17">
    <w:name w:val="annotation subject"/>
    <w:basedOn w:val="6"/>
    <w:next w:val="6"/>
    <w:link w:val="39"/>
    <w:semiHidden/>
    <w:unhideWhenUsed/>
    <w:qFormat/>
    <w:uiPriority w:val="99"/>
    <w:rPr>
      <w:b/>
      <w:bCs/>
    </w:rPr>
  </w:style>
  <w:style w:type="paragraph" w:styleId="18">
    <w:name w:val="Body Text First Indent 2"/>
    <w:basedOn w:val="8"/>
    <w:link w:val="43"/>
    <w:unhideWhenUsed/>
    <w:qFormat/>
    <w:uiPriority w:val="99"/>
    <w:pPr>
      <w:ind w:firstLine="420" w:firstLineChars="200"/>
    </w:pPr>
  </w:style>
  <w:style w:type="character" w:styleId="21">
    <w:name w:val="page number"/>
    <w:basedOn w:val="20"/>
    <w:qFormat/>
    <w:uiPriority w:val="0"/>
  </w:style>
  <w:style w:type="character" w:styleId="22">
    <w:name w:val="Emphasis"/>
    <w:basedOn w:val="20"/>
    <w:qFormat/>
    <w:uiPriority w:val="20"/>
    <w:rPr>
      <w:i/>
      <w:iCs/>
    </w:rPr>
  </w:style>
  <w:style w:type="character" w:styleId="23">
    <w:name w:val="Hyperlink"/>
    <w:basedOn w:val="20"/>
    <w:unhideWhenUsed/>
    <w:qFormat/>
    <w:uiPriority w:val="99"/>
    <w:rPr>
      <w:rFonts w:cs="Times New Roman"/>
      <w:color w:val="0563C1"/>
      <w:u w:val="single"/>
    </w:rPr>
  </w:style>
  <w:style w:type="character" w:styleId="24">
    <w:name w:val="annotation reference"/>
    <w:basedOn w:val="20"/>
    <w:semiHidden/>
    <w:unhideWhenUsed/>
    <w:qFormat/>
    <w:uiPriority w:val="99"/>
    <w:rPr>
      <w:sz w:val="21"/>
      <w:szCs w:val="21"/>
    </w:rPr>
  </w:style>
  <w:style w:type="character" w:customStyle="1" w:styleId="25">
    <w:name w:val="标题 1 字符"/>
    <w:basedOn w:val="20"/>
    <w:link w:val="2"/>
    <w:qFormat/>
    <w:locked/>
    <w:uiPriority w:val="1"/>
    <w:rPr>
      <w:rFonts w:ascii="宋体" w:hAnsi="宋体" w:eastAsia="楷体" w:cs="宋体"/>
      <w:b/>
      <w:sz w:val="28"/>
      <w:szCs w:val="28"/>
    </w:rPr>
  </w:style>
  <w:style w:type="character" w:customStyle="1" w:styleId="26">
    <w:name w:val="标题 2 字符"/>
    <w:basedOn w:val="20"/>
    <w:link w:val="3"/>
    <w:semiHidden/>
    <w:qFormat/>
    <w:locked/>
    <w:uiPriority w:val="9"/>
    <w:rPr>
      <w:rFonts w:ascii="Adobe ｺﾚﾌ・Std R" w:hAnsi="Adobe ｺﾚﾌ・Std R" w:eastAsia="楷体" w:cs="Times New Roman"/>
      <w:b/>
      <w:bCs/>
      <w:kern w:val="0"/>
      <w:sz w:val="28"/>
      <w:szCs w:val="32"/>
    </w:rPr>
  </w:style>
  <w:style w:type="character" w:customStyle="1" w:styleId="27">
    <w:name w:val="正文文本 字符"/>
    <w:basedOn w:val="20"/>
    <w:link w:val="7"/>
    <w:qFormat/>
    <w:locked/>
    <w:uiPriority w:val="1"/>
    <w:rPr>
      <w:rFonts w:ascii="Times New Roman" w:hAnsi="Times New Roman" w:cs="Times New Roman"/>
      <w:kern w:val="0"/>
      <w:sz w:val="24"/>
      <w:szCs w:val="24"/>
    </w:rPr>
  </w:style>
  <w:style w:type="paragraph" w:styleId="28">
    <w:name w:val="List Paragraph"/>
    <w:basedOn w:val="1"/>
    <w:qFormat/>
    <w:uiPriority w:val="34"/>
  </w:style>
  <w:style w:type="paragraph" w:customStyle="1" w:styleId="29">
    <w:name w:val="Table Paragraph"/>
    <w:basedOn w:val="1"/>
    <w:qFormat/>
    <w:uiPriority w:val="1"/>
  </w:style>
  <w:style w:type="paragraph" w:customStyle="1" w:styleId="30">
    <w:name w:val="TOC 标题1"/>
    <w:basedOn w:val="2"/>
    <w:next w:val="1"/>
    <w:unhideWhenUsed/>
    <w:qFormat/>
    <w:uiPriority w:val="39"/>
    <w:pPr>
      <w:keepNext/>
      <w:keepLines/>
      <w:widowControl/>
      <w:autoSpaceDE/>
      <w:autoSpaceDN/>
      <w:adjustRightInd/>
      <w:spacing w:before="240" w:line="259" w:lineRule="auto"/>
      <w:outlineLvl w:val="9"/>
    </w:pPr>
    <w:rPr>
      <w:rFonts w:ascii="等线 Light" w:hAnsi="等线 Light" w:eastAsia="等线 Light" w:cs="Times New Roman"/>
      <w:color w:val="2F5496"/>
      <w:sz w:val="32"/>
      <w:szCs w:val="32"/>
    </w:rPr>
  </w:style>
  <w:style w:type="character" w:customStyle="1" w:styleId="31">
    <w:name w:val="批注框文本 字符"/>
    <w:basedOn w:val="20"/>
    <w:link w:val="11"/>
    <w:semiHidden/>
    <w:qFormat/>
    <w:locked/>
    <w:uiPriority w:val="99"/>
    <w:rPr>
      <w:rFonts w:ascii="Times New Roman" w:hAnsi="Times New Roman" w:cs="Times New Roman"/>
      <w:kern w:val="0"/>
      <w:sz w:val="18"/>
      <w:szCs w:val="18"/>
    </w:rPr>
  </w:style>
  <w:style w:type="paragraph" w:customStyle="1" w:styleId="32">
    <w:name w:val="段"/>
    <w:link w:val="3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段 Char"/>
    <w:link w:val="32"/>
    <w:qFormat/>
    <w:locked/>
    <w:uiPriority w:val="0"/>
    <w:rPr>
      <w:rFonts w:ascii="宋体" w:hAnsi="Times New Roman" w:eastAsia="宋体"/>
      <w:kern w:val="0"/>
      <w:sz w:val="20"/>
    </w:rPr>
  </w:style>
  <w:style w:type="character" w:customStyle="1" w:styleId="34">
    <w:name w:val="页眉 字符"/>
    <w:basedOn w:val="20"/>
    <w:link w:val="13"/>
    <w:qFormat/>
    <w:locked/>
    <w:uiPriority w:val="99"/>
    <w:rPr>
      <w:rFonts w:ascii="Times New Roman" w:hAnsi="Times New Roman" w:cs="Times New Roman"/>
      <w:kern w:val="0"/>
      <w:sz w:val="18"/>
      <w:szCs w:val="18"/>
    </w:rPr>
  </w:style>
  <w:style w:type="character" w:customStyle="1" w:styleId="35">
    <w:name w:val="页脚 字符"/>
    <w:basedOn w:val="20"/>
    <w:link w:val="12"/>
    <w:qFormat/>
    <w:locked/>
    <w:uiPriority w:val="99"/>
    <w:rPr>
      <w:rFonts w:ascii="Times New Roman" w:hAnsi="Times New Roman" w:cs="Times New Roman"/>
      <w:kern w:val="0"/>
      <w:sz w:val="18"/>
      <w:szCs w:val="18"/>
    </w:rPr>
  </w:style>
  <w:style w:type="paragraph" w:customStyle="1" w:styleId="36">
    <w:name w:val="修订1"/>
    <w:hidden/>
    <w:semiHidden/>
    <w:qFormat/>
    <w:uiPriority w:val="99"/>
    <w:rPr>
      <w:rFonts w:ascii="Times New Roman" w:hAnsi="Times New Roman" w:cs="Times New Roman" w:eastAsiaTheme="minorEastAsia"/>
      <w:sz w:val="24"/>
      <w:szCs w:val="24"/>
      <w:lang w:val="en-US" w:eastAsia="zh-CN" w:bidi="ar-SA"/>
    </w:rPr>
  </w:style>
  <w:style w:type="paragraph" w:customStyle="1" w:styleId="37">
    <w:name w:val="修订2"/>
    <w:hidden/>
    <w:semiHidden/>
    <w:qFormat/>
    <w:uiPriority w:val="99"/>
    <w:rPr>
      <w:rFonts w:ascii="Times New Roman" w:hAnsi="Times New Roman" w:cs="Times New Roman" w:eastAsiaTheme="minorEastAsia"/>
      <w:sz w:val="24"/>
      <w:szCs w:val="24"/>
      <w:lang w:val="en-US" w:eastAsia="zh-CN" w:bidi="ar-SA"/>
    </w:rPr>
  </w:style>
  <w:style w:type="character" w:customStyle="1" w:styleId="38">
    <w:name w:val="批注文字 字符"/>
    <w:basedOn w:val="20"/>
    <w:link w:val="6"/>
    <w:semiHidden/>
    <w:qFormat/>
    <w:uiPriority w:val="99"/>
    <w:rPr>
      <w:rFonts w:eastAsiaTheme="minorEastAsia"/>
      <w:sz w:val="24"/>
      <w:szCs w:val="24"/>
    </w:rPr>
  </w:style>
  <w:style w:type="character" w:customStyle="1" w:styleId="39">
    <w:name w:val="批注主题 字符"/>
    <w:basedOn w:val="38"/>
    <w:link w:val="17"/>
    <w:semiHidden/>
    <w:qFormat/>
    <w:uiPriority w:val="99"/>
    <w:rPr>
      <w:rFonts w:eastAsiaTheme="minorEastAsia"/>
      <w:b/>
      <w:bCs/>
      <w:sz w:val="24"/>
      <w:szCs w:val="24"/>
    </w:rPr>
  </w:style>
  <w:style w:type="paragraph" w:customStyle="1" w:styleId="40">
    <w:name w:val="TOC 标题2"/>
    <w:basedOn w:val="2"/>
    <w:next w:val="1"/>
    <w:unhideWhenUsed/>
    <w:qFormat/>
    <w:uiPriority w:val="39"/>
    <w:pPr>
      <w:keepNext/>
      <w:keepLines/>
      <w:widowControl/>
      <w:autoSpaceDE/>
      <w:autoSpaceDN/>
      <w:adjustRightInd/>
      <w:spacing w:before="240" w:line="259" w:lineRule="auto"/>
      <w:outlineLvl w:val="9"/>
    </w:pPr>
    <w:rPr>
      <w:rFonts w:asciiTheme="majorHAnsi" w:hAnsiTheme="majorHAnsi" w:eastAsiaTheme="majorEastAsia" w:cstheme="majorBidi"/>
      <w:color w:val="2F5597" w:themeColor="accent1" w:themeShade="BF"/>
      <w:sz w:val="32"/>
      <w:szCs w:val="32"/>
    </w:rPr>
  </w:style>
  <w:style w:type="character" w:customStyle="1" w:styleId="41">
    <w:name w:val="日期 字符"/>
    <w:basedOn w:val="20"/>
    <w:link w:val="10"/>
    <w:semiHidden/>
    <w:qFormat/>
    <w:uiPriority w:val="99"/>
    <w:rPr>
      <w:rFonts w:eastAsiaTheme="minorEastAsia"/>
      <w:sz w:val="24"/>
      <w:szCs w:val="24"/>
    </w:rPr>
  </w:style>
  <w:style w:type="character" w:customStyle="1" w:styleId="42">
    <w:name w:val="正文文本缩进 字符"/>
    <w:basedOn w:val="20"/>
    <w:link w:val="8"/>
    <w:semiHidden/>
    <w:qFormat/>
    <w:uiPriority w:val="99"/>
    <w:rPr>
      <w:rFonts w:eastAsiaTheme="minorEastAsia"/>
      <w:sz w:val="24"/>
      <w:szCs w:val="24"/>
    </w:rPr>
  </w:style>
  <w:style w:type="character" w:customStyle="1" w:styleId="43">
    <w:name w:val="正文文本首行缩进 2 字符"/>
    <w:basedOn w:val="42"/>
    <w:link w:val="18"/>
    <w:qFormat/>
    <w:uiPriority w:val="99"/>
    <w:rPr>
      <w:rFonts w:eastAsiaTheme="minorEastAsia"/>
      <w:sz w:val="24"/>
      <w:szCs w:val="24"/>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18C53B65-0CC2-4A86-B5D0-EDFDD569970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9066</Words>
  <Characters>1819</Characters>
  <Lines>15</Lines>
  <Paragraphs>21</Paragraphs>
  <TotalTime>209</TotalTime>
  <ScaleCrop>false</ScaleCrop>
  <LinksUpToDate>false</LinksUpToDate>
  <CharactersWithSpaces>10864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2025-12-04T21:17:00Z</dcterms:created>
  <dc:creator>lhj</dc:creator>
  <cp:lastModifiedBy>TianJY</cp:lastModifiedBy>
  <cp:lastPrinted>2023-12-12T23:14:00Z</cp:lastPrinted>
  <dcterms:modified xsi:type="dcterms:W3CDTF">2026-03-20T15:48:44Z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FA4D90BC20414BC4AD743E80F3F39F88_13</vt:lpwstr>
  </property>
</Properties>
</file>